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53C" w:rsidRDefault="000A253C" w:rsidP="000A253C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480" w:lineRule="auto"/>
        <w:ind w:left="860"/>
        <w:jc w:val="both"/>
        <w:rPr>
          <w:rFonts w:eastAsia="Times New Roman"/>
          <w:b/>
          <w:color w:val="auto"/>
          <w:sz w:val="24"/>
          <w:szCs w:val="24"/>
        </w:rPr>
      </w:pPr>
      <w:r w:rsidRPr="00E61843">
        <w:rPr>
          <w:rFonts w:eastAsia="Times New Roman"/>
          <w:b/>
          <w:color w:val="auto"/>
          <w:sz w:val="24"/>
          <w:szCs w:val="24"/>
        </w:rPr>
        <w:t>IMÁGENES</w:t>
      </w:r>
      <w:r>
        <w:rPr>
          <w:rFonts w:eastAsia="Times New Roman"/>
          <w:b/>
          <w:color w:val="auto"/>
          <w:sz w:val="24"/>
          <w:szCs w:val="24"/>
        </w:rPr>
        <w:t xml:space="preserve"> Y TABLAS</w:t>
      </w:r>
    </w:p>
    <w:p w:rsidR="000A253C" w:rsidRPr="009513D1" w:rsidRDefault="000A253C" w:rsidP="000A253C">
      <w:pPr>
        <w:pStyle w:val="HTMLconformatoprevio"/>
        <w:shd w:val="clear" w:color="auto" w:fill="FFFFFF"/>
        <w:jc w:val="both"/>
        <w:rPr>
          <w:rFonts w:ascii="Arial" w:hAnsi="Arial" w:cs="Arial"/>
          <w:color w:val="212121"/>
          <w:sz w:val="24"/>
          <w:szCs w:val="24"/>
        </w:rPr>
      </w:pPr>
      <w:r w:rsidRPr="00762401">
        <w:rPr>
          <w:rFonts w:ascii="Arial" w:hAnsi="Arial" w:cs="Arial"/>
          <w:b/>
          <w:sz w:val="24"/>
          <w:szCs w:val="24"/>
        </w:rPr>
        <w:t xml:space="preserve">Tabla 1. </w:t>
      </w:r>
      <w:r w:rsidRPr="00762401">
        <w:rPr>
          <w:rFonts w:ascii="Arial" w:hAnsi="Arial" w:cs="Arial"/>
          <w:color w:val="212121"/>
          <w:sz w:val="24"/>
          <w:szCs w:val="24"/>
          <w:lang w:val="es-ES"/>
        </w:rPr>
        <w:t>Características clínicas, endoscópicas e histológicas para el  diagnóstico diferencial de enfermedad de Crohn y tuberculosis intestinal</w:t>
      </w:r>
      <w:r>
        <w:rPr>
          <w:rFonts w:ascii="Arial" w:hAnsi="Arial" w:cs="Arial"/>
          <w:color w:val="212121"/>
          <w:sz w:val="24"/>
          <w:szCs w:val="24"/>
          <w:lang w:val="es-ES"/>
        </w:rPr>
        <w:t xml:space="preserve"> (</w:t>
      </w:r>
      <w:r>
        <w:rPr>
          <w:rFonts w:ascii="Arial" w:hAnsi="Arial" w:cs="Arial"/>
          <w:color w:val="212121"/>
          <w:sz w:val="24"/>
          <w:szCs w:val="24"/>
          <w:vertAlign w:val="superscript"/>
          <w:lang w:val="es-ES"/>
        </w:rPr>
        <w:t>1, 3, 11</w:t>
      </w:r>
      <w:r>
        <w:rPr>
          <w:rFonts w:ascii="Arial" w:hAnsi="Arial" w:cs="Arial"/>
          <w:color w:val="212121"/>
          <w:sz w:val="24"/>
          <w:szCs w:val="24"/>
          <w:lang w:val="es-ES"/>
        </w:rPr>
        <w:t>)</w:t>
      </w:r>
    </w:p>
    <w:p w:rsidR="000A253C" w:rsidRPr="00762401" w:rsidRDefault="000A253C" w:rsidP="000A253C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480" w:lineRule="auto"/>
        <w:ind w:left="860"/>
        <w:jc w:val="both"/>
        <w:rPr>
          <w:rFonts w:eastAsia="Times New Roman"/>
          <w:b/>
          <w:color w:val="auto"/>
          <w:sz w:val="24"/>
          <w:szCs w:val="24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15"/>
        <w:gridCol w:w="2296"/>
        <w:gridCol w:w="2127"/>
      </w:tblGrid>
      <w:tr w:rsidR="000A253C" w:rsidTr="00337AF9">
        <w:tc>
          <w:tcPr>
            <w:tcW w:w="2915" w:type="dxa"/>
          </w:tcPr>
          <w:p w:rsidR="000A253C" w:rsidRDefault="000A253C" w:rsidP="00337AF9"/>
        </w:tc>
        <w:tc>
          <w:tcPr>
            <w:tcW w:w="2296" w:type="dxa"/>
          </w:tcPr>
          <w:p w:rsidR="000A253C" w:rsidRPr="009027A9" w:rsidRDefault="000A253C" w:rsidP="00337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color w:val="212121"/>
                <w:sz w:val="24"/>
                <w:szCs w:val="24"/>
                <w:lang w:val="es-ES" w:eastAsia="es-CO"/>
              </w:rPr>
            </w:pPr>
            <w:r w:rsidRPr="009027A9">
              <w:rPr>
                <w:rFonts w:eastAsia="Times New Roman"/>
                <w:color w:val="212121"/>
                <w:sz w:val="24"/>
                <w:szCs w:val="24"/>
                <w:lang w:val="es-ES" w:eastAsia="es-CO"/>
              </w:rPr>
              <w:t>TUBERCULOSIS INTESTINAL</w:t>
            </w:r>
          </w:p>
        </w:tc>
        <w:tc>
          <w:tcPr>
            <w:tcW w:w="2127" w:type="dxa"/>
          </w:tcPr>
          <w:p w:rsidR="000A253C" w:rsidRPr="009027A9" w:rsidRDefault="000A253C" w:rsidP="00337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color w:val="212121"/>
                <w:sz w:val="24"/>
                <w:szCs w:val="24"/>
                <w:lang w:val="es-ES" w:eastAsia="es-CO"/>
              </w:rPr>
            </w:pPr>
            <w:r w:rsidRPr="009027A9">
              <w:rPr>
                <w:rFonts w:eastAsia="Times New Roman"/>
                <w:color w:val="212121"/>
                <w:sz w:val="24"/>
                <w:szCs w:val="24"/>
                <w:lang w:val="es-ES" w:eastAsia="es-CO"/>
              </w:rPr>
              <w:t>ENFERMEDAD DE CROHN</w:t>
            </w:r>
          </w:p>
        </w:tc>
      </w:tr>
      <w:tr w:rsidR="000A253C" w:rsidTr="00337AF9">
        <w:tc>
          <w:tcPr>
            <w:tcW w:w="2915" w:type="dxa"/>
          </w:tcPr>
          <w:p w:rsidR="000A253C" w:rsidRPr="00020A00" w:rsidRDefault="000A253C" w:rsidP="00337AF9">
            <w:pPr>
              <w:rPr>
                <w:b/>
                <w:i/>
              </w:rPr>
            </w:pPr>
            <w:r w:rsidRPr="00020A00">
              <w:rPr>
                <w:b/>
                <w:i/>
              </w:rPr>
              <w:t>Presentación clínica</w:t>
            </w:r>
          </w:p>
        </w:tc>
        <w:tc>
          <w:tcPr>
            <w:tcW w:w="2296" w:type="dxa"/>
          </w:tcPr>
          <w:p w:rsidR="000A253C" w:rsidRPr="00604C1D" w:rsidRDefault="000A253C" w:rsidP="00337AF9"/>
        </w:tc>
        <w:tc>
          <w:tcPr>
            <w:tcW w:w="2127" w:type="dxa"/>
          </w:tcPr>
          <w:p w:rsidR="000A253C" w:rsidRPr="00604C1D" w:rsidRDefault="000A253C" w:rsidP="00337AF9"/>
        </w:tc>
      </w:tr>
      <w:tr w:rsidR="000A253C" w:rsidTr="00337AF9">
        <w:tc>
          <w:tcPr>
            <w:tcW w:w="2915" w:type="dxa"/>
          </w:tcPr>
          <w:p w:rsidR="000A253C" w:rsidRPr="00604C1D" w:rsidRDefault="000A253C" w:rsidP="00337AF9">
            <w:pPr>
              <w:ind w:left="29" w:firstLine="313"/>
            </w:pPr>
            <w:r w:rsidRPr="00604C1D">
              <w:t>Diarrea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+++</w:t>
            </w:r>
          </w:p>
        </w:tc>
      </w:tr>
      <w:tr w:rsidR="000A253C" w:rsidTr="00337AF9">
        <w:tc>
          <w:tcPr>
            <w:tcW w:w="2915" w:type="dxa"/>
          </w:tcPr>
          <w:p w:rsidR="000A253C" w:rsidRPr="00604C1D" w:rsidRDefault="000A253C" w:rsidP="00337AF9">
            <w:pPr>
              <w:ind w:left="29" w:firstLine="313"/>
            </w:pPr>
            <w:r w:rsidRPr="00604C1D">
              <w:t>Sangrado rectal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+++</w:t>
            </w:r>
          </w:p>
        </w:tc>
      </w:tr>
      <w:tr w:rsidR="000A253C" w:rsidTr="00337AF9">
        <w:tc>
          <w:tcPr>
            <w:tcW w:w="2915" w:type="dxa"/>
          </w:tcPr>
          <w:p w:rsidR="000A253C" w:rsidRPr="00604C1D" w:rsidRDefault="000A253C" w:rsidP="00337AF9">
            <w:pPr>
              <w:ind w:left="29" w:firstLine="313"/>
            </w:pPr>
            <w:r w:rsidRPr="00604C1D">
              <w:t>Enfermedad perianal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-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++</w:t>
            </w:r>
          </w:p>
        </w:tc>
      </w:tr>
      <w:tr w:rsidR="000A253C" w:rsidTr="00337AF9">
        <w:tc>
          <w:tcPr>
            <w:tcW w:w="2915" w:type="dxa"/>
          </w:tcPr>
          <w:p w:rsidR="000A253C" w:rsidRPr="00604C1D" w:rsidRDefault="000A253C" w:rsidP="00337AF9">
            <w:pPr>
              <w:ind w:left="29" w:firstLine="313"/>
            </w:pPr>
            <w:r w:rsidRPr="00604C1D">
              <w:t>Fiebre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+++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+</w:t>
            </w:r>
          </w:p>
        </w:tc>
      </w:tr>
      <w:tr w:rsidR="000A253C" w:rsidTr="00337AF9">
        <w:tc>
          <w:tcPr>
            <w:tcW w:w="2915" w:type="dxa"/>
          </w:tcPr>
          <w:p w:rsidR="000A253C" w:rsidRPr="00020A00" w:rsidRDefault="000A253C" w:rsidP="00337AF9">
            <w:pPr>
              <w:ind w:left="29" w:firstLine="313"/>
            </w:pPr>
            <w:r w:rsidRPr="00020A00">
              <w:t>Diaforesis nocturna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>
              <w:t>-</w:t>
            </w:r>
          </w:p>
        </w:tc>
      </w:tr>
      <w:tr w:rsidR="000A253C" w:rsidTr="00337AF9">
        <w:tc>
          <w:tcPr>
            <w:tcW w:w="2915" w:type="dxa"/>
          </w:tcPr>
          <w:p w:rsidR="000A253C" w:rsidRPr="00020A00" w:rsidRDefault="000A253C" w:rsidP="00337AF9">
            <w:pPr>
              <w:ind w:left="29" w:firstLine="313"/>
            </w:pPr>
            <w:r w:rsidRPr="00020A00">
              <w:t>Pérdida de peso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+</w:t>
            </w:r>
          </w:p>
        </w:tc>
      </w:tr>
      <w:tr w:rsidR="000A253C" w:rsidTr="00337AF9">
        <w:tc>
          <w:tcPr>
            <w:tcW w:w="2915" w:type="dxa"/>
          </w:tcPr>
          <w:p w:rsidR="000A253C" w:rsidRPr="00020A00" w:rsidRDefault="000A253C" w:rsidP="00337AF9">
            <w:pPr>
              <w:ind w:left="313" w:firstLine="29"/>
            </w:pPr>
            <w:r w:rsidRPr="00020A00">
              <w:t>Manifestaciones extradigestivas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++</w:t>
            </w:r>
          </w:p>
        </w:tc>
      </w:tr>
      <w:tr w:rsidR="000A253C" w:rsidTr="00337AF9">
        <w:tc>
          <w:tcPr>
            <w:tcW w:w="2915" w:type="dxa"/>
          </w:tcPr>
          <w:p w:rsidR="000A253C" w:rsidRPr="00020A00" w:rsidRDefault="000A253C" w:rsidP="00337AF9">
            <w:pPr>
              <w:ind w:left="313"/>
            </w:pPr>
            <w:r w:rsidRPr="00020A00">
              <w:t>Colangitis esclerosante primaria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-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+</w:t>
            </w:r>
          </w:p>
        </w:tc>
      </w:tr>
      <w:tr w:rsidR="000A253C" w:rsidTr="00337AF9">
        <w:tc>
          <w:tcPr>
            <w:tcW w:w="2915" w:type="dxa"/>
          </w:tcPr>
          <w:p w:rsidR="000A253C" w:rsidRPr="00762401" w:rsidRDefault="000A253C" w:rsidP="00337AF9">
            <w:pPr>
              <w:ind w:left="313"/>
            </w:pPr>
            <w:r w:rsidRPr="00762401">
              <w:t xml:space="preserve">Duración de síntomas </w:t>
            </w:r>
          </w:p>
        </w:tc>
        <w:tc>
          <w:tcPr>
            <w:tcW w:w="2296" w:type="dxa"/>
          </w:tcPr>
          <w:p w:rsidR="000A253C" w:rsidRPr="00762401" w:rsidRDefault="000A253C" w:rsidP="00337AF9">
            <w:pPr>
              <w:jc w:val="center"/>
            </w:pPr>
            <w:r w:rsidRPr="00762401">
              <w:t>7.2 ± 3.4 meses</w:t>
            </w:r>
          </w:p>
        </w:tc>
        <w:tc>
          <w:tcPr>
            <w:tcW w:w="2127" w:type="dxa"/>
          </w:tcPr>
          <w:p w:rsidR="000A253C" w:rsidRPr="00762401" w:rsidRDefault="000A253C" w:rsidP="00337AF9">
            <w:pPr>
              <w:jc w:val="center"/>
            </w:pPr>
            <w:r w:rsidRPr="00762401">
              <w:t>58.1±9.8 meses</w:t>
            </w:r>
          </w:p>
        </w:tc>
      </w:tr>
      <w:tr w:rsidR="000A253C" w:rsidTr="00337AF9">
        <w:tc>
          <w:tcPr>
            <w:tcW w:w="2915" w:type="dxa"/>
          </w:tcPr>
          <w:p w:rsidR="000A253C" w:rsidRPr="00020A00" w:rsidRDefault="000A253C" w:rsidP="00337AF9">
            <w:pPr>
              <w:ind w:left="313" w:hanging="313"/>
              <w:rPr>
                <w:b/>
                <w:i/>
              </w:rPr>
            </w:pPr>
            <w:r w:rsidRPr="00020A00">
              <w:rPr>
                <w:b/>
                <w:i/>
              </w:rPr>
              <w:t>Hallazgos endoscópicos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</w:p>
        </w:tc>
      </w:tr>
      <w:tr w:rsidR="000A253C" w:rsidTr="00337AF9">
        <w:tc>
          <w:tcPr>
            <w:tcW w:w="2915" w:type="dxa"/>
          </w:tcPr>
          <w:p w:rsidR="000A253C" w:rsidRPr="00604C1D" w:rsidRDefault="000A253C" w:rsidP="00337AF9">
            <w:pPr>
              <w:ind w:left="313"/>
            </w:pPr>
            <w:r w:rsidRPr="00604C1D">
              <w:t>Úlceras longitudinales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+++</w:t>
            </w:r>
          </w:p>
        </w:tc>
      </w:tr>
      <w:tr w:rsidR="000A253C" w:rsidTr="00337AF9">
        <w:tc>
          <w:tcPr>
            <w:tcW w:w="2915" w:type="dxa"/>
          </w:tcPr>
          <w:p w:rsidR="000A253C" w:rsidRPr="00604C1D" w:rsidRDefault="000A253C" w:rsidP="00337AF9">
            <w:pPr>
              <w:ind w:left="313"/>
              <w:rPr>
                <w:highlight w:val="yellow"/>
              </w:rPr>
            </w:pPr>
            <w:r w:rsidRPr="00604C1D">
              <w:t>Úlceras aftoides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++</w:t>
            </w:r>
          </w:p>
        </w:tc>
      </w:tr>
      <w:tr w:rsidR="000A253C" w:rsidTr="00337AF9">
        <w:tc>
          <w:tcPr>
            <w:tcW w:w="2915" w:type="dxa"/>
          </w:tcPr>
          <w:p w:rsidR="000A253C" w:rsidRPr="00604C1D" w:rsidRDefault="000A253C" w:rsidP="00337AF9">
            <w:pPr>
              <w:ind w:left="313"/>
              <w:rPr>
                <w:highlight w:val="yellow"/>
              </w:rPr>
            </w:pPr>
            <w:r w:rsidRPr="00020A00">
              <w:t>Úlceras circunferenciales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+++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+</w:t>
            </w:r>
          </w:p>
        </w:tc>
      </w:tr>
      <w:tr w:rsidR="000A253C" w:rsidTr="00337AF9">
        <w:tc>
          <w:tcPr>
            <w:tcW w:w="2915" w:type="dxa"/>
          </w:tcPr>
          <w:p w:rsidR="000A253C" w:rsidRPr="00604C1D" w:rsidRDefault="000A253C" w:rsidP="00337A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3"/>
            </w:pPr>
            <w:r w:rsidRPr="00604C1D">
              <w:rPr>
                <w:rFonts w:eastAsia="Times New Roman"/>
                <w:lang w:val="es-ES" w:eastAsia="es-CO"/>
              </w:rPr>
              <w:t xml:space="preserve">Mucosa de patrón empedrado 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+++</w:t>
            </w:r>
          </w:p>
        </w:tc>
      </w:tr>
      <w:tr w:rsidR="000A253C" w:rsidTr="00337AF9">
        <w:tc>
          <w:tcPr>
            <w:tcW w:w="2915" w:type="dxa"/>
          </w:tcPr>
          <w:p w:rsidR="000A253C" w:rsidRPr="00604C1D" w:rsidRDefault="000A253C" w:rsidP="00337AF9">
            <w:pPr>
              <w:ind w:left="313"/>
              <w:rPr>
                <w:highlight w:val="yellow"/>
              </w:rPr>
            </w:pPr>
            <w:r w:rsidRPr="00604C1D">
              <w:t>Cicatrices y pseudopólipos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++</w:t>
            </w:r>
          </w:p>
        </w:tc>
      </w:tr>
      <w:tr w:rsidR="000A253C" w:rsidTr="00337AF9">
        <w:tc>
          <w:tcPr>
            <w:tcW w:w="2915" w:type="dxa"/>
          </w:tcPr>
          <w:p w:rsidR="000A253C" w:rsidRPr="00604C1D" w:rsidRDefault="000A253C" w:rsidP="00337AF9">
            <w:pPr>
              <w:ind w:left="313"/>
              <w:rPr>
                <w:highlight w:val="yellow"/>
              </w:rPr>
            </w:pPr>
            <w:r>
              <w:t>Compromiso de v</w:t>
            </w:r>
            <w:r w:rsidRPr="00020A00">
              <w:t>álvula ileocecal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+++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+</w:t>
            </w:r>
          </w:p>
        </w:tc>
      </w:tr>
      <w:tr w:rsidR="000A253C" w:rsidTr="00337AF9">
        <w:tc>
          <w:tcPr>
            <w:tcW w:w="2915" w:type="dxa"/>
          </w:tcPr>
          <w:p w:rsidR="000A253C" w:rsidRPr="00020A00" w:rsidRDefault="000A253C" w:rsidP="00337AF9">
            <w:pPr>
              <w:ind w:left="313" w:hanging="313"/>
              <w:rPr>
                <w:b/>
                <w:i/>
              </w:rPr>
            </w:pPr>
            <w:r w:rsidRPr="00020A00">
              <w:rPr>
                <w:b/>
                <w:i/>
              </w:rPr>
              <w:t>Hallazgos histológicos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</w:p>
        </w:tc>
      </w:tr>
      <w:tr w:rsidR="000A253C" w:rsidTr="00337AF9">
        <w:tc>
          <w:tcPr>
            <w:tcW w:w="2915" w:type="dxa"/>
          </w:tcPr>
          <w:p w:rsidR="000A253C" w:rsidRPr="00604C1D" w:rsidRDefault="000A253C" w:rsidP="00337AF9">
            <w:pPr>
              <w:ind w:left="313"/>
            </w:pPr>
            <w:r w:rsidRPr="00604C1D">
              <w:t>Granulomas confluentes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-</w:t>
            </w:r>
          </w:p>
        </w:tc>
      </w:tr>
      <w:tr w:rsidR="000A253C" w:rsidTr="00337AF9">
        <w:tc>
          <w:tcPr>
            <w:tcW w:w="2915" w:type="dxa"/>
          </w:tcPr>
          <w:p w:rsidR="000A253C" w:rsidRPr="00604C1D" w:rsidRDefault="000A253C" w:rsidP="00337AF9">
            <w:pPr>
              <w:ind w:left="313"/>
            </w:pPr>
            <w:r w:rsidRPr="00604C1D">
              <w:t xml:space="preserve">Necrosis caseosa 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-</w:t>
            </w:r>
          </w:p>
        </w:tc>
      </w:tr>
      <w:tr w:rsidR="000A253C" w:rsidTr="00337AF9">
        <w:tc>
          <w:tcPr>
            <w:tcW w:w="2915" w:type="dxa"/>
          </w:tcPr>
          <w:p w:rsidR="000A253C" w:rsidRPr="00604C1D" w:rsidRDefault="000A253C" w:rsidP="00337AF9">
            <w:pPr>
              <w:ind w:left="313"/>
              <w:rPr>
                <w:i/>
              </w:rPr>
            </w:pPr>
            <w:r w:rsidRPr="00604C1D">
              <w:t>Granulomas &gt;400 µm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+++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>
              <w:t>+</w:t>
            </w:r>
          </w:p>
        </w:tc>
      </w:tr>
      <w:tr w:rsidR="000A253C" w:rsidTr="00337AF9">
        <w:tc>
          <w:tcPr>
            <w:tcW w:w="2915" w:type="dxa"/>
          </w:tcPr>
          <w:p w:rsidR="000A253C" w:rsidRPr="00604C1D" w:rsidRDefault="000A253C" w:rsidP="00337AF9">
            <w:pPr>
              <w:ind w:left="313"/>
              <w:rPr>
                <w:i/>
              </w:rPr>
            </w:pPr>
            <w:r w:rsidRPr="00604C1D">
              <w:t>Granulomas &lt;200 µm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+++</w:t>
            </w:r>
          </w:p>
        </w:tc>
      </w:tr>
      <w:tr w:rsidR="000A253C" w:rsidTr="00337AF9">
        <w:tc>
          <w:tcPr>
            <w:tcW w:w="2915" w:type="dxa"/>
          </w:tcPr>
          <w:p w:rsidR="000A253C" w:rsidRPr="00604C1D" w:rsidRDefault="000A253C" w:rsidP="00337AF9">
            <w:pPr>
              <w:ind w:left="313" w:firstLine="29"/>
            </w:pPr>
            <w:r w:rsidRPr="00604C1D">
              <w:rPr>
                <w:shd w:val="clear" w:color="auto" w:fill="FFFFFF"/>
              </w:rPr>
              <w:t xml:space="preserve">Úlceras revestidas por bandas de histiocitos epitelioides 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+++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+</w:t>
            </w:r>
          </w:p>
        </w:tc>
      </w:tr>
      <w:tr w:rsidR="000A253C" w:rsidTr="00337AF9">
        <w:tc>
          <w:tcPr>
            <w:tcW w:w="2915" w:type="dxa"/>
          </w:tcPr>
          <w:p w:rsidR="000A253C" w:rsidRPr="00604C1D" w:rsidRDefault="000A253C" w:rsidP="00337AF9">
            <w:pPr>
              <w:ind w:left="313"/>
            </w:pPr>
            <w:r w:rsidRPr="00604C1D">
              <w:t>Inflamación submucosa desproporcionada</w:t>
            </w:r>
          </w:p>
        </w:tc>
        <w:tc>
          <w:tcPr>
            <w:tcW w:w="2296" w:type="dxa"/>
          </w:tcPr>
          <w:p w:rsidR="000A253C" w:rsidRPr="00604C1D" w:rsidRDefault="000A253C" w:rsidP="00337AF9">
            <w:pPr>
              <w:jc w:val="center"/>
            </w:pPr>
            <w:r w:rsidRPr="00604C1D">
              <w:t>+++</w:t>
            </w:r>
          </w:p>
        </w:tc>
        <w:tc>
          <w:tcPr>
            <w:tcW w:w="2127" w:type="dxa"/>
          </w:tcPr>
          <w:p w:rsidR="000A253C" w:rsidRPr="00604C1D" w:rsidRDefault="000A253C" w:rsidP="00337AF9">
            <w:pPr>
              <w:jc w:val="center"/>
            </w:pPr>
            <w:r w:rsidRPr="00604C1D">
              <w:t>+</w:t>
            </w:r>
          </w:p>
        </w:tc>
      </w:tr>
    </w:tbl>
    <w:p w:rsidR="000A253C" w:rsidRDefault="000A253C" w:rsidP="000A253C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480" w:lineRule="auto"/>
        <w:ind w:left="860"/>
        <w:jc w:val="both"/>
        <w:rPr>
          <w:rFonts w:eastAsia="Times New Roman"/>
          <w:b/>
          <w:color w:val="auto"/>
          <w:sz w:val="24"/>
          <w:szCs w:val="24"/>
        </w:rPr>
      </w:pPr>
    </w:p>
    <w:p w:rsidR="000A253C" w:rsidRDefault="000A253C" w:rsidP="000A253C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480" w:lineRule="auto"/>
        <w:ind w:left="860"/>
        <w:jc w:val="both"/>
        <w:rPr>
          <w:rFonts w:eastAsia="Times New Roman"/>
          <w:b/>
          <w:color w:val="auto"/>
          <w:sz w:val="24"/>
          <w:szCs w:val="24"/>
        </w:rPr>
      </w:pPr>
    </w:p>
    <w:p w:rsidR="000A253C" w:rsidRDefault="000A253C" w:rsidP="000A253C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480" w:lineRule="auto"/>
        <w:ind w:left="860"/>
        <w:jc w:val="both"/>
        <w:rPr>
          <w:rFonts w:eastAsia="Times New Roman"/>
          <w:b/>
          <w:color w:val="auto"/>
          <w:sz w:val="24"/>
          <w:szCs w:val="24"/>
        </w:rPr>
      </w:pPr>
      <w:r w:rsidRPr="00E61843">
        <w:rPr>
          <w:rFonts w:eastAsia="Times New Roman"/>
          <w:b/>
          <w:noProof/>
          <w:color w:val="auto"/>
          <w:sz w:val="24"/>
          <w:szCs w:val="24"/>
        </w:rPr>
        <w:lastRenderedPageBreak/>
        <w:drawing>
          <wp:inline distT="0" distB="0" distL="0" distR="0" wp14:anchorId="3D5B326B" wp14:editId="6EAA1ACB">
            <wp:extent cx="2931795" cy="2654548"/>
            <wp:effectExtent l="0" t="0" r="0" b="12700"/>
            <wp:docPr id="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/>
                    </a:blip>
                    <a:srcRect l="25713" t="19521" r="25713" b="13018"/>
                    <a:stretch/>
                  </pic:blipFill>
                  <pic:spPr>
                    <a:xfrm>
                      <a:off x="0" y="0"/>
                      <a:ext cx="2948110" cy="266932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0A253C" w:rsidRPr="004B1645" w:rsidRDefault="000A253C" w:rsidP="000A253C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480" w:lineRule="auto"/>
        <w:ind w:left="860"/>
        <w:jc w:val="both"/>
        <w:rPr>
          <w:rFonts w:eastAsia="Times New Roman"/>
          <w:color w:val="auto"/>
          <w:sz w:val="16"/>
          <w:szCs w:val="16"/>
        </w:rPr>
      </w:pPr>
      <w:r w:rsidRPr="00817F27">
        <w:rPr>
          <w:rFonts w:eastAsia="Times New Roman"/>
          <w:b/>
          <w:color w:val="auto"/>
          <w:sz w:val="16"/>
          <w:szCs w:val="16"/>
        </w:rPr>
        <w:t>Imagen 2</w:t>
      </w:r>
      <w:r w:rsidR="00CB56A8">
        <w:rPr>
          <w:rFonts w:eastAsia="Times New Roman"/>
          <w:b/>
          <w:color w:val="auto"/>
          <w:sz w:val="16"/>
          <w:szCs w:val="16"/>
        </w:rPr>
        <w:t>B</w:t>
      </w:r>
      <w:r w:rsidRPr="00817F27">
        <w:rPr>
          <w:rFonts w:eastAsia="Times New Roman"/>
          <w:b/>
          <w:color w:val="auto"/>
          <w:sz w:val="16"/>
          <w:szCs w:val="16"/>
        </w:rPr>
        <w:t>:</w:t>
      </w:r>
      <w:r>
        <w:rPr>
          <w:rFonts w:eastAsia="Times New Roman"/>
          <w:color w:val="auto"/>
          <w:sz w:val="16"/>
          <w:szCs w:val="16"/>
        </w:rPr>
        <w:t xml:space="preserve"> </w:t>
      </w:r>
      <w:r w:rsidRPr="004B1645">
        <w:rPr>
          <w:rFonts w:eastAsia="Times New Roman"/>
          <w:color w:val="auto"/>
          <w:sz w:val="16"/>
          <w:szCs w:val="16"/>
        </w:rPr>
        <w:t>compromiso perianal por EC</w:t>
      </w:r>
    </w:p>
    <w:p w:rsidR="000A253C" w:rsidRDefault="000A253C" w:rsidP="000A253C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480" w:lineRule="auto"/>
        <w:ind w:left="860"/>
        <w:jc w:val="both"/>
        <w:rPr>
          <w:rFonts w:eastAsia="Times New Roman"/>
          <w:b/>
          <w:color w:val="auto"/>
          <w:sz w:val="24"/>
          <w:szCs w:val="24"/>
        </w:rPr>
      </w:pPr>
      <w:r w:rsidRPr="00E61843">
        <w:rPr>
          <w:rFonts w:eastAsia="Times New Roman"/>
          <w:b/>
          <w:noProof/>
          <w:color w:val="auto"/>
          <w:sz w:val="24"/>
          <w:szCs w:val="24"/>
        </w:rPr>
        <w:drawing>
          <wp:inline distT="0" distB="0" distL="0" distR="0" wp14:anchorId="0ED2DB7B" wp14:editId="4A3AA95E">
            <wp:extent cx="2965150" cy="2554068"/>
            <wp:effectExtent l="0" t="0" r="6985" b="11430"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png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/>
                    </a:blip>
                    <a:srcRect l="17107" t="19647" r="15001" b="9961"/>
                    <a:stretch/>
                  </pic:blipFill>
                  <pic:spPr>
                    <a:xfrm>
                      <a:off x="0" y="0"/>
                      <a:ext cx="2986253" cy="2572246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0A253C" w:rsidRPr="004B1645" w:rsidRDefault="000A253C" w:rsidP="000A253C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480" w:lineRule="auto"/>
        <w:ind w:left="860"/>
        <w:jc w:val="both"/>
        <w:rPr>
          <w:rFonts w:eastAsia="Times New Roman"/>
          <w:color w:val="auto"/>
          <w:sz w:val="16"/>
          <w:szCs w:val="16"/>
        </w:rPr>
      </w:pPr>
      <w:r w:rsidRPr="00817F27">
        <w:rPr>
          <w:rFonts w:eastAsia="Times New Roman"/>
          <w:b/>
          <w:color w:val="auto"/>
          <w:sz w:val="16"/>
          <w:szCs w:val="16"/>
        </w:rPr>
        <w:t xml:space="preserve">Imagen </w:t>
      </w:r>
      <w:r w:rsidR="00CB56A8">
        <w:rPr>
          <w:rFonts w:eastAsia="Times New Roman"/>
          <w:b/>
          <w:color w:val="auto"/>
          <w:sz w:val="16"/>
          <w:szCs w:val="16"/>
        </w:rPr>
        <w:t>2A</w:t>
      </w:r>
      <w:r w:rsidRPr="00817F27">
        <w:rPr>
          <w:rFonts w:eastAsia="Times New Roman"/>
          <w:b/>
          <w:color w:val="auto"/>
          <w:sz w:val="16"/>
          <w:szCs w:val="16"/>
        </w:rPr>
        <w:t>.</w:t>
      </w:r>
      <w:r>
        <w:rPr>
          <w:rFonts w:eastAsia="Times New Roman"/>
          <w:color w:val="auto"/>
          <w:sz w:val="16"/>
          <w:szCs w:val="16"/>
        </w:rPr>
        <w:t xml:space="preserve"> </w:t>
      </w:r>
      <w:r w:rsidRPr="004B1645">
        <w:rPr>
          <w:rFonts w:eastAsia="Times New Roman"/>
          <w:color w:val="auto"/>
          <w:sz w:val="16"/>
          <w:szCs w:val="16"/>
        </w:rPr>
        <w:t>Severos cambios inflamatorios y úlceras profundas, longitudinales en</w:t>
      </w:r>
      <w:r>
        <w:rPr>
          <w:rFonts w:eastAsia="Times New Roman"/>
          <w:color w:val="auto"/>
          <w:sz w:val="16"/>
          <w:szCs w:val="16"/>
        </w:rPr>
        <w:t xml:space="preserve"> colon (</w:t>
      </w:r>
      <w:r w:rsidRPr="004B1645">
        <w:rPr>
          <w:rFonts w:eastAsia="Times New Roman"/>
          <w:color w:val="auto"/>
          <w:sz w:val="16"/>
          <w:szCs w:val="16"/>
        </w:rPr>
        <w:t>paciente con diagnóstico de EC)</w:t>
      </w:r>
    </w:p>
    <w:p w:rsidR="000A253C" w:rsidRDefault="000A253C" w:rsidP="000A253C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480" w:lineRule="auto"/>
        <w:ind w:left="860"/>
        <w:jc w:val="both"/>
        <w:rPr>
          <w:rFonts w:eastAsia="Times New Roman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7805104" wp14:editId="20B0E670">
            <wp:extent cx="2954659" cy="216720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11080" t="14013" r="12509" b="15929"/>
                    <a:stretch/>
                  </pic:blipFill>
                  <pic:spPr bwMode="auto">
                    <a:xfrm>
                      <a:off x="0" y="0"/>
                      <a:ext cx="2984980" cy="218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53C" w:rsidRPr="004B1645" w:rsidRDefault="000A253C" w:rsidP="000A253C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480" w:lineRule="auto"/>
        <w:ind w:left="860"/>
        <w:jc w:val="both"/>
        <w:rPr>
          <w:rFonts w:eastAsia="Times New Roman"/>
          <w:color w:val="auto"/>
          <w:sz w:val="16"/>
          <w:szCs w:val="16"/>
        </w:rPr>
      </w:pPr>
      <w:r w:rsidRPr="00817F27">
        <w:rPr>
          <w:rFonts w:eastAsia="Times New Roman"/>
          <w:b/>
          <w:color w:val="auto"/>
          <w:sz w:val="16"/>
          <w:szCs w:val="16"/>
        </w:rPr>
        <w:lastRenderedPageBreak/>
        <w:t>Imagen 1</w:t>
      </w:r>
      <w:r w:rsidR="00CB56A8">
        <w:rPr>
          <w:rFonts w:eastAsia="Times New Roman"/>
          <w:b/>
          <w:color w:val="auto"/>
          <w:sz w:val="16"/>
          <w:szCs w:val="16"/>
        </w:rPr>
        <w:t>B</w:t>
      </w:r>
      <w:r>
        <w:rPr>
          <w:rFonts w:eastAsia="Times New Roman"/>
          <w:color w:val="auto"/>
          <w:sz w:val="16"/>
          <w:szCs w:val="16"/>
        </w:rPr>
        <w:t xml:space="preserve">. </w:t>
      </w:r>
      <w:r w:rsidRPr="004B1645">
        <w:rPr>
          <w:rFonts w:eastAsia="Times New Roman"/>
          <w:color w:val="auto"/>
          <w:sz w:val="16"/>
          <w:szCs w:val="16"/>
        </w:rPr>
        <w:t xml:space="preserve">úlcera de aspecto inflamatorio, </w:t>
      </w:r>
      <w:r w:rsidR="005173A3">
        <w:rPr>
          <w:rFonts w:eastAsia="Times New Roman"/>
          <w:color w:val="auto"/>
          <w:sz w:val="16"/>
          <w:szCs w:val="16"/>
        </w:rPr>
        <w:t xml:space="preserve">profunda y </w:t>
      </w:r>
      <w:bookmarkStart w:id="0" w:name="_GoBack"/>
      <w:bookmarkEnd w:id="0"/>
      <w:r w:rsidRPr="004B1645">
        <w:rPr>
          <w:rFonts w:eastAsia="Times New Roman"/>
          <w:color w:val="auto"/>
          <w:sz w:val="16"/>
          <w:szCs w:val="16"/>
        </w:rPr>
        <w:t>circunferencial en ileon distal (paciente con VIH y TBI intestinal)</w:t>
      </w:r>
    </w:p>
    <w:p w:rsidR="000A253C" w:rsidRDefault="000A253C" w:rsidP="000A253C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480" w:lineRule="auto"/>
        <w:ind w:left="860"/>
        <w:jc w:val="both"/>
        <w:rPr>
          <w:rFonts w:eastAsia="Times New Roman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3D852450" wp14:editId="37CEF1CC">
            <wp:extent cx="3039446" cy="228854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10347" t="13862" r="11752" b="15655"/>
                    <a:stretch/>
                  </pic:blipFill>
                  <pic:spPr bwMode="auto">
                    <a:xfrm>
                      <a:off x="0" y="0"/>
                      <a:ext cx="3099901" cy="233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53C" w:rsidRPr="004B1645" w:rsidRDefault="000A253C" w:rsidP="000A253C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480" w:lineRule="auto"/>
        <w:ind w:left="860"/>
        <w:jc w:val="both"/>
        <w:rPr>
          <w:rFonts w:eastAsia="Times New Roman"/>
          <w:color w:val="auto"/>
          <w:sz w:val="16"/>
          <w:szCs w:val="16"/>
        </w:rPr>
      </w:pPr>
      <w:r w:rsidRPr="00817F27">
        <w:rPr>
          <w:rFonts w:eastAsia="Times New Roman"/>
          <w:b/>
          <w:color w:val="auto"/>
          <w:sz w:val="16"/>
          <w:szCs w:val="16"/>
        </w:rPr>
        <w:t>Imagen 1</w:t>
      </w:r>
      <w:r w:rsidR="00CB56A8">
        <w:rPr>
          <w:rFonts w:eastAsia="Times New Roman"/>
          <w:b/>
          <w:color w:val="auto"/>
          <w:sz w:val="16"/>
          <w:szCs w:val="16"/>
        </w:rPr>
        <w:t>A</w:t>
      </w:r>
      <w:r w:rsidRPr="00817F27">
        <w:rPr>
          <w:rFonts w:eastAsia="Times New Roman"/>
          <w:b/>
          <w:color w:val="auto"/>
          <w:sz w:val="16"/>
          <w:szCs w:val="16"/>
        </w:rPr>
        <w:t>:</w:t>
      </w:r>
      <w:r>
        <w:rPr>
          <w:rFonts w:eastAsia="Times New Roman"/>
          <w:color w:val="auto"/>
          <w:sz w:val="16"/>
          <w:szCs w:val="16"/>
        </w:rPr>
        <w:t xml:space="preserve"> </w:t>
      </w:r>
      <w:r w:rsidRPr="004B1645">
        <w:rPr>
          <w:rFonts w:eastAsia="Times New Roman"/>
          <w:color w:val="auto"/>
          <w:sz w:val="16"/>
          <w:szCs w:val="16"/>
        </w:rPr>
        <w:t>Compromiso inflamatorio, y ulcera que compromete válvula ileocecal en paciente con VIH y TBI</w:t>
      </w:r>
    </w:p>
    <w:p w:rsidR="00725B03" w:rsidRDefault="005173A3"/>
    <w:sectPr w:rsidR="00725B03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53C"/>
    <w:rsid w:val="000A253C"/>
    <w:rsid w:val="004C475A"/>
    <w:rsid w:val="005173A3"/>
    <w:rsid w:val="007D0499"/>
    <w:rsid w:val="00CB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15E952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A253C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253C"/>
    <w:pPr>
      <w:ind w:left="720"/>
      <w:contextualSpacing/>
    </w:pPr>
  </w:style>
  <w:style w:type="table" w:styleId="Tablaconcuadrcula">
    <w:name w:val="Table Grid"/>
    <w:basedOn w:val="Tablanormal"/>
    <w:uiPriority w:val="39"/>
    <w:rsid w:val="000A253C"/>
    <w:rPr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unhideWhenUsed/>
    <w:rsid w:val="000A253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 w:val="20"/>
      <w:szCs w:val="20"/>
      <w:lang w:val="es-CO"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0A253C"/>
    <w:rPr>
      <w:rFonts w:ascii="Courier New" w:eastAsia="Times New Roman" w:hAnsi="Courier New" w:cs="Courier New"/>
      <w:sz w:val="20"/>
      <w:szCs w:val="20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208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Mosquera Klinger</dc:creator>
  <cp:keywords/>
  <dc:description/>
  <cp:lastModifiedBy>gami8203@yahoo.com</cp:lastModifiedBy>
  <cp:revision>2</cp:revision>
  <dcterms:created xsi:type="dcterms:W3CDTF">2018-11-07T01:25:00Z</dcterms:created>
  <dcterms:modified xsi:type="dcterms:W3CDTF">2018-11-07T01:34:00Z</dcterms:modified>
</cp:coreProperties>
</file>