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8B1" w:rsidRDefault="00A358B1" w:rsidP="00A358B1">
      <w:pPr>
        <w:pStyle w:val="NormalWeb"/>
        <w:spacing w:line="360" w:lineRule="auto"/>
        <w:rPr>
          <w:rFonts w:ascii="Arial" w:hAnsi="Arial" w:cs="Arial"/>
          <w:b/>
          <w:sz w:val="24"/>
          <w:szCs w:val="24"/>
          <w:lang w:val="es-ES"/>
        </w:rPr>
      </w:pPr>
      <w:bookmarkStart w:id="0" w:name="_GoBack"/>
      <w:r>
        <w:rPr>
          <w:rFonts w:ascii="Arial" w:hAnsi="Arial" w:cs="Arial"/>
          <w:b/>
          <w:sz w:val="24"/>
          <w:szCs w:val="24"/>
          <w:lang w:val="es-ES"/>
        </w:rPr>
        <w:t>Introducción</w:t>
      </w:r>
    </w:p>
    <w:bookmarkEnd w:id="0"/>
    <w:p w:rsidR="00A358B1" w:rsidRPr="00A358B1" w:rsidRDefault="00A358B1" w:rsidP="00A358B1">
      <w:pPr>
        <w:pStyle w:val="NormalWeb"/>
        <w:spacing w:line="360" w:lineRule="auto"/>
        <w:rPr>
          <w:rFonts w:ascii="Arial" w:hAnsi="Arial" w:cs="Arial"/>
          <w:sz w:val="24"/>
          <w:szCs w:val="24"/>
          <w:lang w:val="es-ES"/>
        </w:rPr>
      </w:pPr>
      <w:r w:rsidRPr="00A358B1">
        <w:rPr>
          <w:rFonts w:ascii="Arial" w:hAnsi="Arial" w:cs="Arial"/>
          <w:sz w:val="24"/>
          <w:szCs w:val="24"/>
          <w:lang w:val="es-ES"/>
        </w:rPr>
        <w:t xml:space="preserve">El </w:t>
      </w:r>
      <w:r w:rsidRPr="00A358B1">
        <w:rPr>
          <w:rFonts w:ascii="Arial" w:hAnsi="Arial" w:cs="Arial"/>
          <w:i/>
          <w:sz w:val="24"/>
          <w:szCs w:val="24"/>
          <w:lang w:val="es-ES"/>
        </w:rPr>
        <w:t>virus de la hepatitis C</w:t>
      </w:r>
      <w:r w:rsidRPr="00A358B1">
        <w:rPr>
          <w:rFonts w:ascii="Arial" w:hAnsi="Arial" w:cs="Arial"/>
          <w:sz w:val="24"/>
          <w:szCs w:val="24"/>
          <w:lang w:val="es-ES"/>
        </w:rPr>
        <w:t xml:space="preserve"> (VHC), pertenece a la familia </w:t>
      </w:r>
      <w:proofErr w:type="spellStart"/>
      <w:r w:rsidRPr="00A358B1">
        <w:rPr>
          <w:rFonts w:ascii="Arial" w:hAnsi="Arial" w:cs="Arial"/>
          <w:i/>
          <w:iCs/>
          <w:sz w:val="24"/>
          <w:szCs w:val="24"/>
          <w:lang w:val="es-ES"/>
        </w:rPr>
        <w:t>Flaviviridae</w:t>
      </w:r>
      <w:proofErr w:type="spellEnd"/>
      <w:r w:rsidRPr="00A358B1">
        <w:rPr>
          <w:rFonts w:ascii="Arial" w:hAnsi="Arial" w:cs="Arial"/>
          <w:i/>
          <w:iCs/>
          <w:sz w:val="24"/>
          <w:szCs w:val="24"/>
          <w:lang w:val="es-ES"/>
        </w:rPr>
        <w:t xml:space="preserve"> </w:t>
      </w:r>
      <w:r w:rsidRPr="00A358B1">
        <w:rPr>
          <w:rFonts w:ascii="Arial" w:hAnsi="Arial" w:cs="Arial"/>
          <w:iCs/>
          <w:sz w:val="24"/>
          <w:szCs w:val="24"/>
          <w:lang w:val="es-ES"/>
        </w:rPr>
        <w:t>y</w:t>
      </w:r>
      <w:r w:rsidRPr="00A358B1">
        <w:rPr>
          <w:rFonts w:ascii="Arial" w:hAnsi="Arial" w:cs="Arial"/>
          <w:sz w:val="24"/>
          <w:szCs w:val="24"/>
          <w:lang w:val="es-ES"/>
        </w:rPr>
        <w:t xml:space="preserve"> genera infecciones agudas que frecuentemente se vuelven crónicas en  el 50% al 85% de los casos. Se conocen seis</w:t>
      </w:r>
      <w:r w:rsidRPr="00A358B1">
        <w:rPr>
          <w:rFonts w:ascii="Arial" w:hAnsi="Arial" w:cs="Arial"/>
          <w:sz w:val="24"/>
          <w:szCs w:val="24"/>
          <w:u w:val="single"/>
          <w:lang w:val="es-ES"/>
        </w:rPr>
        <w:t xml:space="preserve"> </w:t>
      </w:r>
      <w:r w:rsidRPr="00A358B1">
        <w:rPr>
          <w:rFonts w:ascii="Arial" w:hAnsi="Arial" w:cs="Arial"/>
          <w:sz w:val="24"/>
          <w:szCs w:val="24"/>
          <w:lang w:val="es-ES"/>
        </w:rPr>
        <w:t>genotipos y, al menos, 50 subtipos diferentes.</w:t>
      </w:r>
      <w:r w:rsidRPr="00A358B1">
        <w:rPr>
          <w:rFonts w:ascii="Arial" w:hAnsi="Arial" w:cs="Arial"/>
          <w:b/>
          <w:sz w:val="24"/>
          <w:szCs w:val="24"/>
          <w:lang w:val="es-ES"/>
        </w:rPr>
        <w:t xml:space="preserve"> </w:t>
      </w:r>
      <w:r w:rsidRPr="00A358B1">
        <w:rPr>
          <w:rFonts w:ascii="Arial" w:hAnsi="Arial" w:cs="Arial"/>
          <w:sz w:val="24"/>
          <w:szCs w:val="24"/>
          <w:lang w:val="es-ES"/>
        </w:rPr>
        <w:t xml:space="preserve">La principal vía de transmisión de este virus es la parenteral (85%). Existen otras vías menos frecuentes como la sexual (menos del 2%) y la vertical (10%) </w:t>
      </w:r>
      <w:r w:rsidRPr="00A358B1">
        <w:rPr>
          <w:rFonts w:ascii="Arial" w:hAnsi="Arial" w:cs="Arial"/>
          <w:b/>
          <w:sz w:val="24"/>
          <w:szCs w:val="24"/>
          <w:lang w:val="es-ES"/>
        </w:rPr>
        <w:t>(1)</w:t>
      </w:r>
      <w:r w:rsidRPr="00A358B1">
        <w:rPr>
          <w:rFonts w:ascii="Arial" w:hAnsi="Arial" w:cs="Arial"/>
          <w:sz w:val="24"/>
          <w:szCs w:val="24"/>
          <w:lang w:val="es-ES"/>
        </w:rPr>
        <w:t xml:space="preserve">. Entre el 5% y el 30% de los individuos con infección crónica desarrollan cirrosis. En países desarrollados como USA la infección por VHC es la causa más importante de enfermedad hepática, así como la indicación más frecuente de trasplante hepático </w:t>
      </w:r>
      <w:r w:rsidRPr="00A358B1">
        <w:rPr>
          <w:rFonts w:ascii="Arial" w:hAnsi="Arial" w:cs="Arial"/>
          <w:b/>
          <w:sz w:val="24"/>
          <w:szCs w:val="24"/>
          <w:lang w:val="es-ES"/>
        </w:rPr>
        <w:t>(2).</w:t>
      </w:r>
    </w:p>
    <w:p w:rsidR="00A358B1" w:rsidRPr="00A358B1" w:rsidRDefault="00A358B1" w:rsidP="00A358B1">
      <w:pPr>
        <w:widowControl w:val="0"/>
        <w:autoSpaceDE w:val="0"/>
        <w:autoSpaceDN w:val="0"/>
        <w:adjustRightInd w:val="0"/>
        <w:spacing w:after="240" w:line="360" w:lineRule="auto"/>
        <w:rPr>
          <w:rStyle w:val="apple-style-span"/>
          <w:rFonts w:ascii="Arial" w:hAnsi="Arial" w:cs="Arial"/>
          <w:color w:val="000000"/>
        </w:rPr>
      </w:pPr>
      <w:r w:rsidRPr="00A358B1">
        <w:rPr>
          <w:rStyle w:val="apple-style-span"/>
          <w:rFonts w:ascii="Arial" w:hAnsi="Arial" w:cs="Arial"/>
          <w:color w:val="000000"/>
          <w:lang w:val="es-ES"/>
        </w:rPr>
        <w:t xml:space="preserve">El tiempo que tarda un individuo en desarrollar cirrosis posterior a la infección fue estimado en una revisión sistemática de </w:t>
      </w:r>
      <w:proofErr w:type="spellStart"/>
      <w:r w:rsidRPr="00A358B1">
        <w:rPr>
          <w:rStyle w:val="apple-style-span"/>
          <w:rFonts w:ascii="Arial" w:hAnsi="Arial" w:cs="Arial"/>
          <w:color w:val="000000"/>
          <w:lang w:val="es-ES"/>
        </w:rPr>
        <w:t>Hla-Hla</w:t>
      </w:r>
      <w:proofErr w:type="spellEnd"/>
      <w:r w:rsidRPr="00A358B1">
        <w:rPr>
          <w:rStyle w:val="apple-style-span"/>
          <w:rFonts w:ascii="Arial" w:hAnsi="Arial" w:cs="Arial"/>
          <w:color w:val="000000"/>
          <w:lang w:val="es-ES"/>
        </w:rPr>
        <w:t xml:space="preserve"> </w:t>
      </w:r>
      <w:proofErr w:type="spellStart"/>
      <w:r w:rsidRPr="00A358B1">
        <w:rPr>
          <w:rStyle w:val="apple-style-span"/>
          <w:rFonts w:ascii="Arial" w:hAnsi="Arial" w:cs="Arial"/>
          <w:color w:val="000000"/>
          <w:lang w:val="es-ES"/>
        </w:rPr>
        <w:t>Thein</w:t>
      </w:r>
      <w:proofErr w:type="spellEnd"/>
      <w:r w:rsidRPr="00A358B1">
        <w:rPr>
          <w:rStyle w:val="apple-style-span"/>
          <w:rFonts w:ascii="Arial" w:hAnsi="Arial" w:cs="Arial"/>
          <w:color w:val="000000"/>
          <w:lang w:val="es-ES"/>
        </w:rPr>
        <w:t xml:space="preserve"> et al, en la que se evaluaron 111 estudios y se encontró una prevalencia de cirrosis 20 años después de la infección en cerca del 16% de los estudios analizados </w:t>
      </w:r>
      <w:r w:rsidRPr="00A358B1">
        <w:rPr>
          <w:rStyle w:val="apple-style-span"/>
          <w:rFonts w:ascii="Arial" w:hAnsi="Arial" w:cs="Arial"/>
          <w:b/>
          <w:color w:val="000000"/>
          <w:lang w:val="es-ES"/>
        </w:rPr>
        <w:t>(3)</w:t>
      </w:r>
      <w:r w:rsidRPr="00A358B1">
        <w:rPr>
          <w:rStyle w:val="apple-style-span"/>
          <w:rFonts w:ascii="Arial" w:hAnsi="Arial" w:cs="Arial"/>
          <w:color w:val="000000"/>
          <w:lang w:val="es-ES"/>
        </w:rPr>
        <w:t>.</w:t>
      </w:r>
      <w:r w:rsidRPr="00A358B1">
        <w:rPr>
          <w:rStyle w:val="apple-style-span"/>
          <w:rFonts w:ascii="Arial" w:hAnsi="Arial" w:cs="Arial"/>
          <w:lang w:val="es-ES"/>
        </w:rPr>
        <w:t xml:space="preserve"> </w:t>
      </w:r>
    </w:p>
    <w:p w:rsidR="00A358B1" w:rsidRPr="00A358B1" w:rsidRDefault="00A358B1" w:rsidP="00A358B1">
      <w:pPr>
        <w:widowControl w:val="0"/>
        <w:autoSpaceDE w:val="0"/>
        <w:autoSpaceDN w:val="0"/>
        <w:adjustRightInd w:val="0"/>
        <w:spacing w:after="240" w:line="360" w:lineRule="auto"/>
        <w:rPr>
          <w:rFonts w:ascii="Arial" w:hAnsi="Arial" w:cs="Arial"/>
        </w:rPr>
      </w:pPr>
      <w:r w:rsidRPr="00A358B1">
        <w:rPr>
          <w:rStyle w:val="apple-style-span"/>
          <w:rFonts w:ascii="Arial" w:hAnsi="Arial" w:cs="Arial"/>
          <w:lang w:val="es-ES"/>
        </w:rPr>
        <w:t xml:space="preserve">Se considera que un tercio de los pacientes con carcinoma </w:t>
      </w:r>
      <w:proofErr w:type="spellStart"/>
      <w:r w:rsidRPr="00A358B1">
        <w:rPr>
          <w:rStyle w:val="apple-style-span"/>
          <w:rFonts w:ascii="Arial" w:hAnsi="Arial" w:cs="Arial"/>
          <w:lang w:val="es-ES"/>
        </w:rPr>
        <w:t>hepatocelular</w:t>
      </w:r>
      <w:proofErr w:type="spellEnd"/>
      <w:r w:rsidRPr="00A358B1">
        <w:rPr>
          <w:rStyle w:val="apple-style-span"/>
          <w:rFonts w:ascii="Arial" w:hAnsi="Arial" w:cs="Arial"/>
          <w:lang w:val="es-ES"/>
        </w:rPr>
        <w:t xml:space="preserve"> presentaron infección por el VHC. Una vez se diagnóstica la cirrosis, se estima que el riesgo de presentar carcinoma </w:t>
      </w:r>
      <w:proofErr w:type="spellStart"/>
      <w:r w:rsidRPr="00A358B1">
        <w:rPr>
          <w:rStyle w:val="apple-style-span"/>
          <w:rFonts w:ascii="Arial" w:hAnsi="Arial" w:cs="Arial"/>
          <w:lang w:val="es-ES"/>
        </w:rPr>
        <w:t>hepatocelular</w:t>
      </w:r>
      <w:proofErr w:type="spellEnd"/>
      <w:r w:rsidRPr="00A358B1">
        <w:rPr>
          <w:rStyle w:val="apple-style-span"/>
          <w:rFonts w:ascii="Arial" w:hAnsi="Arial" w:cs="Arial"/>
          <w:lang w:val="es-ES"/>
        </w:rPr>
        <w:t xml:space="preserve"> esta entre el 0% y el 3% por año en varios reportes (</w:t>
      </w:r>
      <w:r w:rsidRPr="00A358B1">
        <w:rPr>
          <w:rStyle w:val="apple-style-span"/>
          <w:rFonts w:ascii="Arial" w:hAnsi="Arial" w:cs="Arial"/>
          <w:b/>
          <w:lang w:val="es-ES"/>
        </w:rPr>
        <w:t>4,5</w:t>
      </w:r>
      <w:r w:rsidRPr="00A358B1">
        <w:rPr>
          <w:rStyle w:val="apple-style-span"/>
          <w:rFonts w:ascii="Arial" w:hAnsi="Arial" w:cs="Arial"/>
          <w:lang w:val="es-ES"/>
        </w:rPr>
        <w:t xml:space="preserve">). </w:t>
      </w:r>
    </w:p>
    <w:p w:rsidR="00A358B1" w:rsidRPr="00A358B1" w:rsidRDefault="00A358B1" w:rsidP="00A358B1">
      <w:pPr>
        <w:widowControl w:val="0"/>
        <w:autoSpaceDE w:val="0"/>
        <w:autoSpaceDN w:val="0"/>
        <w:adjustRightInd w:val="0"/>
        <w:spacing w:after="240" w:line="360" w:lineRule="auto"/>
        <w:rPr>
          <w:rFonts w:ascii="Arial" w:eastAsiaTheme="minorHAnsi" w:hAnsi="Arial" w:cs="Arial"/>
          <w:color w:val="000000"/>
          <w:lang w:val="es-ES" w:eastAsia="en-US"/>
        </w:rPr>
      </w:pPr>
      <w:r w:rsidRPr="00A358B1">
        <w:rPr>
          <w:rFonts w:ascii="Arial" w:eastAsiaTheme="minorHAnsi" w:hAnsi="Arial" w:cs="Arial"/>
          <w:color w:val="000000"/>
          <w:lang w:val="es-ES" w:eastAsia="en-US"/>
        </w:rPr>
        <w:t xml:space="preserve">La coinfección con el </w:t>
      </w:r>
      <w:r w:rsidRPr="00A358B1">
        <w:rPr>
          <w:rFonts w:ascii="Arial" w:eastAsiaTheme="minorHAnsi" w:hAnsi="Arial" w:cs="Arial"/>
          <w:i/>
          <w:color w:val="000000"/>
          <w:lang w:val="es-ES" w:eastAsia="en-US"/>
        </w:rPr>
        <w:t>virus de la hepatitis C</w:t>
      </w:r>
      <w:r w:rsidRPr="00A358B1">
        <w:rPr>
          <w:rFonts w:ascii="Arial" w:eastAsiaTheme="minorHAnsi" w:hAnsi="Arial" w:cs="Arial"/>
          <w:color w:val="000000"/>
          <w:lang w:val="es-ES" w:eastAsia="en-US"/>
        </w:rPr>
        <w:t xml:space="preserve"> y el </w:t>
      </w:r>
      <w:r w:rsidRPr="00A358B1">
        <w:rPr>
          <w:rFonts w:ascii="Arial" w:eastAsiaTheme="minorHAnsi" w:hAnsi="Arial" w:cs="Arial"/>
          <w:i/>
          <w:color w:val="000000"/>
          <w:lang w:val="es-ES" w:eastAsia="en-US"/>
        </w:rPr>
        <w:t>virus la hepatitis B</w:t>
      </w:r>
      <w:r w:rsidRPr="00A358B1">
        <w:rPr>
          <w:rFonts w:ascii="Arial" w:eastAsiaTheme="minorHAnsi" w:hAnsi="Arial" w:cs="Arial"/>
          <w:color w:val="000000"/>
          <w:lang w:val="es-ES" w:eastAsia="en-US"/>
        </w:rPr>
        <w:t xml:space="preserve"> (VHB) no es infrecuente, dado que comparten modos de transmisión similares. La ocurrencia de estas infecciones simultáneas es mucho más prevalente en áreas en las que ambos virus son endémicos y entre grupos de personas con alto riesgo de contagio parenteral. La importancia clínica de diagnosticar la coinfección VHC/VHB radica tanto en el pronóstico, dado que estos pacientes presentan más desenlaces adversos, como en las opciones de tratamiento </w:t>
      </w:r>
      <w:r w:rsidRPr="00A358B1">
        <w:rPr>
          <w:rFonts w:ascii="Arial" w:eastAsiaTheme="minorHAnsi" w:hAnsi="Arial" w:cs="Arial"/>
          <w:b/>
          <w:color w:val="000000"/>
          <w:lang w:val="es-ES" w:eastAsia="en-US"/>
        </w:rPr>
        <w:t>(6).</w:t>
      </w:r>
    </w:p>
    <w:p w:rsidR="00A358B1" w:rsidRPr="00A358B1" w:rsidRDefault="00A358B1" w:rsidP="00A358B1">
      <w:pPr>
        <w:widowControl w:val="0"/>
        <w:autoSpaceDE w:val="0"/>
        <w:autoSpaceDN w:val="0"/>
        <w:adjustRightInd w:val="0"/>
        <w:spacing w:after="240" w:line="360" w:lineRule="auto"/>
        <w:rPr>
          <w:rFonts w:ascii="Arial" w:eastAsiaTheme="minorHAnsi" w:hAnsi="Arial" w:cs="Arial"/>
          <w:color w:val="000000"/>
          <w:lang w:val="es-ES" w:eastAsia="en-US"/>
        </w:rPr>
      </w:pPr>
      <w:r w:rsidRPr="00A358B1">
        <w:rPr>
          <w:rFonts w:ascii="Arial" w:eastAsiaTheme="minorHAnsi" w:hAnsi="Arial" w:cs="Arial"/>
          <w:color w:val="000000"/>
          <w:lang w:val="es-ES" w:eastAsia="en-US"/>
        </w:rPr>
        <w:t xml:space="preserve">El </w:t>
      </w:r>
      <w:r w:rsidRPr="00A358B1">
        <w:rPr>
          <w:rFonts w:ascii="Arial" w:eastAsiaTheme="minorHAnsi" w:hAnsi="Arial" w:cs="Arial"/>
          <w:i/>
          <w:color w:val="000000"/>
          <w:lang w:val="es-ES" w:eastAsia="en-US"/>
        </w:rPr>
        <w:t>virus de la inmunodeficiencia humana</w:t>
      </w:r>
      <w:r w:rsidRPr="00A358B1">
        <w:rPr>
          <w:rFonts w:ascii="Arial" w:eastAsiaTheme="minorHAnsi" w:hAnsi="Arial" w:cs="Arial"/>
          <w:color w:val="000000"/>
          <w:lang w:val="es-ES" w:eastAsia="en-US"/>
        </w:rPr>
        <w:t xml:space="preserve"> (VIH) genera otra de las infecciones más comúnmente encontradas en pacientes con el VHC. Aproximadamente el 10% de los pacientes VHC positivos son también positivos para el VIH y de los pacientes </w:t>
      </w:r>
      <w:r w:rsidRPr="00A358B1">
        <w:rPr>
          <w:rFonts w:ascii="Arial" w:eastAsiaTheme="minorHAnsi" w:hAnsi="Arial" w:cs="Arial"/>
          <w:color w:val="000000"/>
          <w:lang w:val="es-ES" w:eastAsia="en-US"/>
        </w:rPr>
        <w:lastRenderedPageBreak/>
        <w:t>VIH (+) aproximadamente el 25% son positivos para el VHC.  Esta asociación se ha observado principalmente en grupos de riesgo, como los usuarios de drogas endovenosas. Se sabe que la presencia de ambos virus facilita la transmisión de la hepatitis c por vía sexual. De igual modo, condiciona un curso más agresivo de la infección, con enfermedad hepática en estadio final como la principal causa de muerte en esta población, por lo que</w:t>
      </w:r>
      <w:r w:rsidRPr="00A358B1">
        <w:rPr>
          <w:rFonts w:ascii="Arial" w:eastAsiaTheme="minorHAnsi" w:hAnsi="Arial" w:cs="Arial"/>
          <w:color w:val="FF0000"/>
          <w:lang w:val="es-ES" w:eastAsia="en-US"/>
        </w:rPr>
        <w:t xml:space="preserve"> </w:t>
      </w:r>
      <w:r w:rsidRPr="00A358B1">
        <w:rPr>
          <w:rFonts w:ascii="Arial" w:eastAsiaTheme="minorHAnsi" w:hAnsi="Arial" w:cs="Arial"/>
          <w:color w:val="000000"/>
          <w:lang w:val="es-ES" w:eastAsia="en-US"/>
        </w:rPr>
        <w:t xml:space="preserve">se hace fundamental el tamizaje oportuno y adecuado de estos pacientes </w:t>
      </w:r>
      <w:r w:rsidRPr="00A358B1">
        <w:rPr>
          <w:rFonts w:ascii="Arial" w:eastAsiaTheme="minorHAnsi" w:hAnsi="Arial" w:cs="Arial"/>
          <w:b/>
          <w:color w:val="000000"/>
          <w:lang w:val="es-ES" w:eastAsia="en-US"/>
        </w:rPr>
        <w:t>(7)</w:t>
      </w:r>
      <w:r w:rsidRPr="00A358B1">
        <w:rPr>
          <w:rFonts w:ascii="Arial" w:eastAsiaTheme="minorHAnsi" w:hAnsi="Arial" w:cs="Arial"/>
          <w:color w:val="000000"/>
          <w:lang w:val="es-ES" w:eastAsia="en-US"/>
        </w:rPr>
        <w:t xml:space="preserve">. </w:t>
      </w:r>
      <w:r w:rsidRPr="00A358B1">
        <w:rPr>
          <w:rFonts w:ascii="Arial" w:eastAsiaTheme="minorHAnsi" w:hAnsi="Arial" w:cs="Arial"/>
          <w:color w:val="000000"/>
          <w:position w:val="8"/>
          <w:lang w:val="es-ES" w:eastAsia="en-US"/>
        </w:rPr>
        <w:t xml:space="preserve">- </w:t>
      </w:r>
    </w:p>
    <w:p w:rsidR="00A358B1" w:rsidRPr="00A358B1" w:rsidRDefault="00A358B1" w:rsidP="00A358B1">
      <w:pPr>
        <w:widowControl w:val="0"/>
        <w:autoSpaceDE w:val="0"/>
        <w:autoSpaceDN w:val="0"/>
        <w:adjustRightInd w:val="0"/>
        <w:spacing w:after="240" w:line="360" w:lineRule="auto"/>
        <w:rPr>
          <w:rStyle w:val="apple-style-span"/>
          <w:rFonts w:ascii="Arial" w:eastAsiaTheme="minorHAnsi" w:hAnsi="Arial" w:cs="Arial"/>
        </w:rPr>
      </w:pPr>
      <w:r w:rsidRPr="00A358B1">
        <w:rPr>
          <w:rStyle w:val="apple-style-span"/>
          <w:rFonts w:ascii="Arial" w:hAnsi="Arial" w:cs="Arial"/>
          <w:color w:val="000000"/>
          <w:shd w:val="clear" w:color="auto" w:fill="FFFFFF"/>
          <w:lang w:val="es-ES"/>
        </w:rPr>
        <w:t xml:space="preserve">Globalmente se estima que, en el 2005, más de 184 millones de personas tuvieron anticuerpos positivos para el virus de la hepatitis C. Con prevalencias moderadas entre 1.5 y el 3.5 por ciento en América latina </w:t>
      </w:r>
      <w:r w:rsidRPr="00A358B1">
        <w:rPr>
          <w:rStyle w:val="apple-style-span"/>
          <w:rFonts w:ascii="Arial" w:hAnsi="Arial" w:cs="Arial"/>
          <w:b/>
          <w:color w:val="000000"/>
          <w:shd w:val="clear" w:color="auto" w:fill="FFFFFF"/>
          <w:lang w:val="es-ES"/>
        </w:rPr>
        <w:t>(8).</w:t>
      </w:r>
      <w:r w:rsidRPr="00A358B1">
        <w:rPr>
          <w:rStyle w:val="apple-style-span"/>
          <w:rFonts w:ascii="Arial" w:hAnsi="Arial" w:cs="Arial"/>
          <w:color w:val="000000"/>
          <w:shd w:val="clear" w:color="auto" w:fill="FFFFFF"/>
          <w:lang w:val="es-ES"/>
        </w:rPr>
        <w:t xml:space="preserve"> Según el CDC la incidencia total estimada en el 2010 fue de 0.3 por cada 100.000 habitantes en USA </w:t>
      </w:r>
      <w:r w:rsidRPr="00A358B1">
        <w:rPr>
          <w:rStyle w:val="apple-style-span"/>
          <w:rFonts w:ascii="Arial" w:hAnsi="Arial" w:cs="Arial"/>
          <w:b/>
          <w:color w:val="000000"/>
          <w:shd w:val="clear" w:color="auto" w:fill="FFFFFF"/>
          <w:lang w:val="es-ES"/>
        </w:rPr>
        <w:t>(9,10).</w:t>
      </w:r>
      <w:r w:rsidRPr="00A358B1">
        <w:rPr>
          <w:rStyle w:val="apple-style-span"/>
          <w:rFonts w:ascii="Arial" w:hAnsi="Arial" w:cs="Arial"/>
          <w:color w:val="000000"/>
          <w:shd w:val="clear" w:color="auto" w:fill="FFFFFF"/>
          <w:lang w:val="es-ES"/>
        </w:rPr>
        <w:t xml:space="preserve"> </w:t>
      </w:r>
    </w:p>
    <w:p w:rsidR="00A358B1" w:rsidRPr="00A358B1" w:rsidRDefault="00A358B1" w:rsidP="00A358B1">
      <w:pPr>
        <w:widowControl w:val="0"/>
        <w:autoSpaceDE w:val="0"/>
        <w:autoSpaceDN w:val="0"/>
        <w:adjustRightInd w:val="0"/>
        <w:spacing w:line="360" w:lineRule="auto"/>
        <w:rPr>
          <w:rFonts w:ascii="Arial" w:hAnsi="Arial" w:cs="Arial"/>
        </w:rPr>
      </w:pPr>
      <w:r w:rsidRPr="00A358B1">
        <w:rPr>
          <w:rFonts w:ascii="Arial" w:hAnsi="Arial" w:cs="Arial"/>
          <w:lang w:val="es-ES"/>
        </w:rPr>
        <w:t xml:space="preserve">Los estudios epidemiológicos en Colombia presentan datos generales. Las estadísticas de SIVIGILA señalan datos específicos de subgrupos a riesgo, evidenciando mayor incidencia de la infección entre los receptores de transfusiones sanguíneas (18,9%), los homosexuales (12,8%), las personas con múltiples parejas sexuales (12,6%) y los usuarios de drogas endovenosas (9,1%) </w:t>
      </w:r>
      <w:r w:rsidRPr="00A358B1">
        <w:rPr>
          <w:rFonts w:ascii="Arial" w:hAnsi="Arial" w:cs="Arial"/>
          <w:b/>
          <w:lang w:val="es-ES"/>
        </w:rPr>
        <w:t xml:space="preserve">(22). </w:t>
      </w:r>
      <w:r w:rsidRPr="00A358B1">
        <w:rPr>
          <w:rFonts w:ascii="Arial" w:hAnsi="Arial" w:cs="Arial"/>
          <w:lang w:val="es-ES"/>
        </w:rPr>
        <w:t xml:space="preserve">Pero no incluyen información sobre los genotipos y los desenlaces más frecuentes de la enfermedad (cirrosis, hepatocarcinoma, trasplantes).  </w:t>
      </w:r>
    </w:p>
    <w:p w:rsidR="00A358B1" w:rsidRPr="00A358B1" w:rsidRDefault="00A358B1" w:rsidP="00A358B1">
      <w:pPr>
        <w:widowControl w:val="0"/>
        <w:autoSpaceDE w:val="0"/>
        <w:autoSpaceDN w:val="0"/>
        <w:adjustRightInd w:val="0"/>
        <w:spacing w:line="360" w:lineRule="auto"/>
        <w:rPr>
          <w:rFonts w:ascii="Arial" w:hAnsi="Arial" w:cs="Arial"/>
          <w:lang w:val="es-ES"/>
        </w:rPr>
      </w:pPr>
    </w:p>
    <w:p w:rsidR="00A358B1" w:rsidRPr="00A358B1" w:rsidRDefault="00A358B1" w:rsidP="00A358B1">
      <w:pPr>
        <w:widowControl w:val="0"/>
        <w:autoSpaceDE w:val="0"/>
        <w:autoSpaceDN w:val="0"/>
        <w:adjustRightInd w:val="0"/>
        <w:spacing w:line="360" w:lineRule="auto"/>
        <w:rPr>
          <w:rFonts w:ascii="Arial" w:hAnsi="Arial" w:cs="Arial"/>
          <w:lang w:val="es-ES"/>
        </w:rPr>
      </w:pPr>
      <w:r w:rsidRPr="00A358B1">
        <w:rPr>
          <w:rFonts w:ascii="Arial" w:hAnsi="Arial" w:cs="Arial"/>
          <w:lang w:val="es-ES"/>
        </w:rPr>
        <w:t xml:space="preserve">La incidencia de la infección fue impactada por la implementación del tamizaje obligatorio para hepatitis C para 1993 en los bancos de sangre. Previo a esta medida, existía una probabilidad entre el 0.74% y el 0.67% de recibir una unidad de sangre infectada o una infección transmitida por una transfusión respectivamente. Estas cifras situaron a Colombia como uno de los países con mayor riesgo de transmisión de la infección en Latinoamérica. En el 2002 se evidencia un aumento al 99.7% de la tamización para VHC en los bancos de sangre, con una reducción notable del riesgo (0.0024%) de recibir sangre infectada </w:t>
      </w:r>
      <w:r w:rsidRPr="00A358B1">
        <w:rPr>
          <w:rFonts w:ascii="Arial" w:hAnsi="Arial" w:cs="Arial"/>
          <w:b/>
          <w:lang w:val="es-ES"/>
        </w:rPr>
        <w:t>(11).</w:t>
      </w:r>
    </w:p>
    <w:p w:rsidR="00A358B1" w:rsidRPr="00A358B1" w:rsidRDefault="00A358B1" w:rsidP="00A358B1">
      <w:pPr>
        <w:spacing w:line="360" w:lineRule="auto"/>
        <w:rPr>
          <w:rFonts w:ascii="Arial" w:hAnsi="Arial" w:cs="Arial"/>
          <w:lang w:val="es-ES"/>
        </w:rPr>
      </w:pPr>
    </w:p>
    <w:p w:rsidR="00A358B1" w:rsidRPr="00A358B1" w:rsidRDefault="00A358B1" w:rsidP="00A358B1">
      <w:pPr>
        <w:spacing w:line="360" w:lineRule="auto"/>
        <w:rPr>
          <w:rStyle w:val="apple-style-span"/>
          <w:rFonts w:ascii="Arial" w:hAnsi="Arial" w:cs="Arial"/>
          <w:color w:val="000000"/>
          <w:shd w:val="clear" w:color="auto" w:fill="FFFFFF"/>
        </w:rPr>
      </w:pPr>
      <w:r w:rsidRPr="00A358B1">
        <w:rPr>
          <w:rStyle w:val="apple-style-span"/>
          <w:rFonts w:ascii="Arial" w:hAnsi="Arial" w:cs="Arial"/>
          <w:color w:val="000000"/>
          <w:shd w:val="clear" w:color="auto" w:fill="FFFFFF"/>
          <w:lang w:val="es-ES"/>
        </w:rPr>
        <w:lastRenderedPageBreak/>
        <w:t xml:space="preserve">Sobre Cali y el Valle del Cauca hay información escasa  sobre el comportamiento epidemiológico y clínico de la enfermedad, por lo que este estudio permite </w:t>
      </w:r>
      <w:r w:rsidRPr="00A358B1">
        <w:rPr>
          <w:rStyle w:val="apple-style-span"/>
          <w:rFonts w:ascii="Arial" w:hAnsi="Arial" w:cs="Arial"/>
          <w:color w:val="000000"/>
          <w:lang w:val="es-ES"/>
        </w:rPr>
        <w:t xml:space="preserve">identificar las complicaciones más frecuentes, factores asociados al desarrollo de esta entidad y genotipos prevalentes. </w:t>
      </w:r>
    </w:p>
    <w:p w:rsidR="00A358B1" w:rsidRPr="00A358B1" w:rsidRDefault="00A358B1" w:rsidP="00A358B1">
      <w:pPr>
        <w:spacing w:line="360" w:lineRule="auto"/>
        <w:rPr>
          <w:rFonts w:ascii="Arial" w:hAnsi="Arial" w:cs="Arial"/>
          <w:b/>
          <w:lang w:val="es-ES"/>
        </w:rPr>
        <w:sectPr w:rsidR="00A358B1" w:rsidRPr="00A358B1">
          <w:type w:val="continuous"/>
          <w:pgSz w:w="12240" w:h="15840"/>
          <w:pgMar w:top="1417" w:right="1701" w:bottom="1417" w:left="1701" w:header="708" w:footer="708" w:gutter="0"/>
          <w:cols w:space="720"/>
        </w:sectPr>
      </w:pPr>
    </w:p>
    <w:p w:rsidR="00A358B1" w:rsidRPr="00A358B1" w:rsidRDefault="00A358B1" w:rsidP="00A358B1">
      <w:pPr>
        <w:spacing w:line="360" w:lineRule="auto"/>
        <w:rPr>
          <w:rFonts w:ascii="Arial" w:hAnsi="Arial" w:cs="Arial"/>
          <w:b/>
        </w:rPr>
      </w:pPr>
    </w:p>
    <w:p w:rsidR="00A358B1" w:rsidRPr="00A358B1" w:rsidRDefault="00A358B1" w:rsidP="00A358B1">
      <w:pPr>
        <w:spacing w:line="360" w:lineRule="auto"/>
        <w:rPr>
          <w:rFonts w:ascii="Arial" w:hAnsi="Arial" w:cs="Arial"/>
          <w:b/>
          <w:lang w:val="es-ES"/>
        </w:rPr>
      </w:pPr>
      <w:r w:rsidRPr="00A358B1">
        <w:rPr>
          <w:rFonts w:ascii="Arial" w:hAnsi="Arial" w:cs="Arial"/>
          <w:b/>
          <w:lang w:val="es-ES"/>
        </w:rPr>
        <w:t>Materiales y métodos</w:t>
      </w:r>
    </w:p>
    <w:p w:rsidR="00A358B1" w:rsidRPr="00A358B1" w:rsidRDefault="00A358B1" w:rsidP="00A358B1">
      <w:pPr>
        <w:spacing w:line="360" w:lineRule="auto"/>
        <w:rPr>
          <w:rFonts w:ascii="Arial" w:hAnsi="Arial" w:cs="Arial"/>
          <w:b/>
          <w:lang w:val="es-ES"/>
        </w:rPr>
      </w:pPr>
    </w:p>
    <w:p w:rsidR="00A358B1" w:rsidRPr="00A358B1" w:rsidRDefault="00A358B1" w:rsidP="00A358B1">
      <w:pPr>
        <w:spacing w:line="360" w:lineRule="auto"/>
        <w:rPr>
          <w:rFonts w:ascii="Arial" w:hAnsi="Arial" w:cs="Arial"/>
          <w:b/>
          <w:i/>
          <w:lang w:val="es-ES"/>
        </w:rPr>
      </w:pPr>
      <w:r w:rsidRPr="00A358B1">
        <w:rPr>
          <w:rFonts w:ascii="Arial" w:hAnsi="Arial" w:cs="Arial"/>
          <w:b/>
          <w:i/>
          <w:lang w:val="es-ES"/>
        </w:rPr>
        <w:t>Tipo de estudio</w:t>
      </w:r>
    </w:p>
    <w:p w:rsidR="00A358B1" w:rsidRPr="00A358B1" w:rsidRDefault="00A358B1" w:rsidP="00A358B1">
      <w:pPr>
        <w:spacing w:line="360" w:lineRule="auto"/>
        <w:rPr>
          <w:rFonts w:ascii="Arial" w:hAnsi="Arial" w:cs="Arial"/>
          <w:lang w:val="es-ES"/>
        </w:rPr>
      </w:pPr>
    </w:p>
    <w:p w:rsidR="00A358B1" w:rsidRPr="00A358B1" w:rsidRDefault="00A358B1" w:rsidP="00A358B1">
      <w:pPr>
        <w:spacing w:line="360" w:lineRule="auto"/>
        <w:rPr>
          <w:rFonts w:ascii="Arial" w:hAnsi="Arial" w:cs="Arial"/>
          <w:lang w:val="es-ES"/>
        </w:rPr>
      </w:pPr>
      <w:r w:rsidRPr="00A358B1">
        <w:rPr>
          <w:rFonts w:ascii="Arial" w:hAnsi="Arial" w:cs="Arial"/>
          <w:lang w:val="es-ES"/>
        </w:rPr>
        <w:t xml:space="preserve">Se realizó un estudio descriptivo transversal. Los criterios de inclusión fueron: pacientes adultos de ambos sexos que tuvieran un diagnóstico de hepatitis C dado por la presencia de anticuerpos totales contra Hepatitis C  </w:t>
      </w:r>
      <w:proofErr w:type="spellStart"/>
      <w:r w:rsidRPr="00A358B1">
        <w:rPr>
          <w:rFonts w:ascii="Arial" w:hAnsi="Arial" w:cs="Arial"/>
          <w:lang w:val="es-ES"/>
        </w:rPr>
        <w:t>y⁄o</w:t>
      </w:r>
      <w:proofErr w:type="spellEnd"/>
      <w:r w:rsidRPr="00A358B1">
        <w:rPr>
          <w:rFonts w:ascii="Arial" w:hAnsi="Arial" w:cs="Arial"/>
          <w:lang w:val="es-ES"/>
        </w:rPr>
        <w:t xml:space="preserve"> carga viral positiva, y que consultaron al servicio de </w:t>
      </w:r>
      <w:proofErr w:type="spellStart"/>
      <w:r w:rsidRPr="00A358B1">
        <w:rPr>
          <w:rFonts w:ascii="Arial" w:hAnsi="Arial" w:cs="Arial"/>
          <w:lang w:val="es-ES"/>
        </w:rPr>
        <w:t>gastro</w:t>
      </w:r>
      <w:proofErr w:type="spellEnd"/>
      <w:r w:rsidRPr="00A358B1">
        <w:rPr>
          <w:rFonts w:ascii="Arial" w:hAnsi="Arial" w:cs="Arial"/>
          <w:lang w:val="es-ES"/>
        </w:rPr>
        <w:t xml:space="preserve">-hepatología en la institución. </w:t>
      </w:r>
    </w:p>
    <w:p w:rsidR="00A358B1" w:rsidRPr="00A358B1" w:rsidRDefault="00A358B1" w:rsidP="00A358B1">
      <w:pPr>
        <w:spacing w:line="360" w:lineRule="auto"/>
        <w:rPr>
          <w:rFonts w:ascii="Arial" w:hAnsi="Arial" w:cs="Arial"/>
          <w:lang w:val="es-ES"/>
        </w:rPr>
      </w:pPr>
    </w:p>
    <w:p w:rsidR="00A358B1" w:rsidRPr="00A358B1" w:rsidRDefault="00A358B1" w:rsidP="00A358B1">
      <w:pPr>
        <w:spacing w:line="360" w:lineRule="auto"/>
        <w:rPr>
          <w:rFonts w:ascii="Arial" w:hAnsi="Arial" w:cs="Arial"/>
          <w:lang w:val="es-ES"/>
        </w:rPr>
      </w:pPr>
      <w:r w:rsidRPr="00A358B1">
        <w:rPr>
          <w:rFonts w:ascii="Arial" w:hAnsi="Arial" w:cs="Arial"/>
          <w:lang w:val="es-ES"/>
        </w:rPr>
        <w:t>Se realizó la revisión de las historias clínicas de los pacientes en el sistema informático de la institución (SAP</w:t>
      </w:r>
      <w:r w:rsidRPr="00A358B1">
        <w:rPr>
          <w:rFonts w:ascii="Arial" w:hAnsi="Arial" w:cs="Arial"/>
          <w:vertAlign w:val="superscript"/>
          <w:lang w:val="es-ES"/>
        </w:rPr>
        <w:t>1</w:t>
      </w:r>
      <w:r w:rsidRPr="00A358B1">
        <w:rPr>
          <w:rFonts w:ascii="Arial" w:hAnsi="Arial" w:cs="Arial"/>
          <w:lang w:val="es-ES"/>
        </w:rPr>
        <w:t xml:space="preserve">), con diagnósticos por códigos del CIE-10 de hepatitis C y hepatitis virales, entre el 2011 y 2016, se registró la información en el formato de recolección de datos diseñado para tal fin.  </w:t>
      </w:r>
    </w:p>
    <w:p w:rsidR="00A358B1" w:rsidRPr="00A358B1" w:rsidRDefault="00A358B1" w:rsidP="00A358B1">
      <w:pPr>
        <w:spacing w:line="360" w:lineRule="auto"/>
        <w:rPr>
          <w:rFonts w:ascii="Arial" w:hAnsi="Arial" w:cs="Arial"/>
          <w:lang w:val="es-ES"/>
        </w:rPr>
      </w:pPr>
    </w:p>
    <w:p w:rsidR="00A358B1" w:rsidRPr="00A358B1" w:rsidRDefault="00A358B1" w:rsidP="00A358B1">
      <w:pPr>
        <w:spacing w:line="360" w:lineRule="auto"/>
        <w:rPr>
          <w:rFonts w:ascii="Arial" w:hAnsi="Arial" w:cs="Arial"/>
          <w:b/>
          <w:i/>
          <w:lang w:val="es-ES"/>
        </w:rPr>
      </w:pPr>
      <w:r w:rsidRPr="00A358B1">
        <w:rPr>
          <w:rFonts w:ascii="Arial" w:hAnsi="Arial" w:cs="Arial"/>
          <w:b/>
          <w:i/>
          <w:lang w:val="es-ES"/>
        </w:rPr>
        <w:t>Análisis de datos</w:t>
      </w:r>
    </w:p>
    <w:p w:rsidR="00A358B1" w:rsidRPr="00A358B1" w:rsidRDefault="00A358B1" w:rsidP="00A358B1">
      <w:pPr>
        <w:spacing w:line="360" w:lineRule="auto"/>
        <w:rPr>
          <w:rFonts w:ascii="Arial" w:hAnsi="Arial" w:cs="Arial"/>
          <w:i/>
          <w:lang w:val="es-ES"/>
        </w:rPr>
      </w:pPr>
    </w:p>
    <w:p w:rsidR="00A358B1" w:rsidRPr="00A358B1" w:rsidRDefault="00A358B1" w:rsidP="00A358B1">
      <w:pPr>
        <w:widowControl w:val="0"/>
        <w:autoSpaceDE w:val="0"/>
        <w:autoSpaceDN w:val="0"/>
        <w:adjustRightInd w:val="0"/>
        <w:spacing w:after="240" w:line="360" w:lineRule="auto"/>
        <w:rPr>
          <w:rFonts w:ascii="Arial" w:hAnsi="Arial" w:cs="Arial"/>
          <w:lang w:val="es-ES"/>
        </w:rPr>
      </w:pPr>
      <w:r w:rsidRPr="00A358B1">
        <w:rPr>
          <w:rFonts w:ascii="Arial" w:hAnsi="Arial" w:cs="Arial"/>
          <w:lang w:val="es-ES"/>
        </w:rPr>
        <w:t xml:space="preserve">La información clínica, los resultados de exámenes y los datos epidemiológicos fueron consignados en una base de datos electrónica. Los datos se resumieron usando como promedios la desviación estándar o la mediana, y los rangos </w:t>
      </w:r>
      <w:proofErr w:type="spellStart"/>
      <w:r w:rsidRPr="00A358B1">
        <w:rPr>
          <w:rFonts w:ascii="Arial" w:hAnsi="Arial" w:cs="Arial"/>
          <w:lang w:val="es-ES"/>
        </w:rPr>
        <w:t>intercuartílicos</w:t>
      </w:r>
      <w:proofErr w:type="spellEnd"/>
      <w:r w:rsidRPr="00A358B1">
        <w:rPr>
          <w:rFonts w:ascii="Arial" w:hAnsi="Arial" w:cs="Arial"/>
          <w:lang w:val="es-ES"/>
        </w:rPr>
        <w:t xml:space="preserve"> según correspondiera. En el análisis </w:t>
      </w:r>
      <w:proofErr w:type="spellStart"/>
      <w:r w:rsidRPr="00A358B1">
        <w:rPr>
          <w:rFonts w:ascii="Arial" w:hAnsi="Arial" w:cs="Arial"/>
          <w:lang w:val="es-ES"/>
        </w:rPr>
        <w:t>univariado</w:t>
      </w:r>
      <w:proofErr w:type="spellEnd"/>
      <w:r w:rsidRPr="00A358B1">
        <w:rPr>
          <w:rFonts w:ascii="Arial" w:hAnsi="Arial" w:cs="Arial"/>
          <w:lang w:val="es-ES"/>
        </w:rPr>
        <w:t xml:space="preserve">, se evaluó la distribución de las variables numéricas mediante la prueba de </w:t>
      </w:r>
      <w:proofErr w:type="spellStart"/>
      <w:r w:rsidRPr="00A358B1">
        <w:rPr>
          <w:rFonts w:ascii="Arial" w:hAnsi="Arial" w:cs="Arial"/>
          <w:lang w:val="es-ES"/>
        </w:rPr>
        <w:t>Shapiro-Wilk</w:t>
      </w:r>
      <w:proofErr w:type="spellEnd"/>
      <w:r w:rsidRPr="00A358B1">
        <w:rPr>
          <w:rFonts w:ascii="Arial" w:hAnsi="Arial" w:cs="Arial"/>
          <w:lang w:val="es-ES"/>
        </w:rPr>
        <w:t xml:space="preserve">. Las variables cualitativas se expresaron como proporciones. Los datos fueron analizados con el paquete estadístico </w:t>
      </w:r>
      <w:proofErr w:type="spellStart"/>
      <w:r w:rsidRPr="00A358B1">
        <w:rPr>
          <w:rFonts w:ascii="Arial" w:hAnsi="Arial" w:cs="Arial"/>
          <w:lang w:val="es-ES"/>
        </w:rPr>
        <w:t>Stata</w:t>
      </w:r>
      <w:proofErr w:type="spellEnd"/>
      <w:r w:rsidRPr="00A358B1">
        <w:rPr>
          <w:rFonts w:ascii="Arial" w:hAnsi="Arial" w:cs="Arial"/>
          <w:lang w:val="es-ES"/>
        </w:rPr>
        <w:sym w:font="Symbol" w:char="F0D2"/>
      </w:r>
      <w:r w:rsidRPr="00A358B1">
        <w:rPr>
          <w:rFonts w:ascii="Arial" w:hAnsi="Arial" w:cs="Arial"/>
          <w:lang w:val="es-ES"/>
        </w:rPr>
        <w:t xml:space="preserve"> (</w:t>
      </w:r>
      <w:proofErr w:type="spellStart"/>
      <w:r w:rsidRPr="00A358B1">
        <w:rPr>
          <w:rFonts w:ascii="Arial" w:hAnsi="Arial" w:cs="Arial"/>
          <w:lang w:val="es-ES"/>
        </w:rPr>
        <w:t>Stata</w:t>
      </w:r>
      <w:proofErr w:type="spellEnd"/>
      <w:r w:rsidRPr="00A358B1">
        <w:rPr>
          <w:rFonts w:ascii="Arial" w:hAnsi="Arial" w:cs="Arial"/>
          <w:lang w:val="es-ES"/>
        </w:rPr>
        <w:t xml:space="preserve"> </w:t>
      </w:r>
      <w:proofErr w:type="spellStart"/>
      <w:r w:rsidRPr="00A358B1">
        <w:rPr>
          <w:rFonts w:ascii="Arial" w:hAnsi="Arial" w:cs="Arial"/>
          <w:lang w:val="es-ES"/>
        </w:rPr>
        <w:t>Corp</w:t>
      </w:r>
      <w:proofErr w:type="spellEnd"/>
      <w:r w:rsidRPr="00A358B1">
        <w:rPr>
          <w:rFonts w:ascii="Arial" w:hAnsi="Arial" w:cs="Arial"/>
          <w:lang w:val="es-ES"/>
        </w:rPr>
        <w:t xml:space="preserve">, 2011, </w:t>
      </w:r>
      <w:proofErr w:type="spellStart"/>
      <w:r w:rsidRPr="00A358B1">
        <w:rPr>
          <w:rFonts w:ascii="Arial" w:hAnsi="Arial" w:cs="Arial"/>
          <w:lang w:val="es-ES"/>
        </w:rPr>
        <w:t>Stata</w:t>
      </w:r>
      <w:proofErr w:type="spellEnd"/>
      <w:r w:rsidRPr="00A358B1">
        <w:rPr>
          <w:rFonts w:ascii="Arial" w:hAnsi="Arial" w:cs="Arial"/>
          <w:lang w:val="es-ES"/>
        </w:rPr>
        <w:t xml:space="preserve"> 12 Base Reference Manual, </w:t>
      </w:r>
      <w:proofErr w:type="spellStart"/>
      <w:r w:rsidRPr="00A358B1">
        <w:rPr>
          <w:rFonts w:ascii="Arial" w:hAnsi="Arial" w:cs="Arial"/>
          <w:lang w:val="es-ES"/>
        </w:rPr>
        <w:t>College</w:t>
      </w:r>
      <w:proofErr w:type="spellEnd"/>
      <w:r w:rsidRPr="00A358B1">
        <w:rPr>
          <w:rFonts w:ascii="Arial" w:hAnsi="Arial" w:cs="Arial"/>
          <w:lang w:val="es-ES"/>
        </w:rPr>
        <w:t xml:space="preserve"> </w:t>
      </w:r>
      <w:proofErr w:type="spellStart"/>
      <w:r w:rsidRPr="00A358B1">
        <w:rPr>
          <w:rFonts w:ascii="Arial" w:hAnsi="Arial" w:cs="Arial"/>
          <w:lang w:val="es-ES"/>
        </w:rPr>
        <w:t>Station</w:t>
      </w:r>
      <w:proofErr w:type="spellEnd"/>
      <w:r w:rsidRPr="00A358B1">
        <w:rPr>
          <w:rFonts w:ascii="Arial" w:hAnsi="Arial" w:cs="Arial"/>
          <w:lang w:val="es-ES"/>
        </w:rPr>
        <w:t xml:space="preserve">, TX, USA). </w:t>
      </w:r>
    </w:p>
    <w:p w:rsidR="00A358B1" w:rsidRPr="00A358B1" w:rsidRDefault="00A358B1" w:rsidP="00A358B1">
      <w:pPr>
        <w:widowControl w:val="0"/>
        <w:autoSpaceDE w:val="0"/>
        <w:autoSpaceDN w:val="0"/>
        <w:adjustRightInd w:val="0"/>
        <w:spacing w:after="240" w:line="360" w:lineRule="auto"/>
        <w:rPr>
          <w:rFonts w:ascii="Arial" w:hAnsi="Arial" w:cs="Arial"/>
          <w:lang w:val="es-ES"/>
        </w:rPr>
      </w:pPr>
      <w:r w:rsidRPr="00A358B1">
        <w:rPr>
          <w:rFonts w:ascii="Arial" w:hAnsi="Arial" w:cs="Arial"/>
          <w:b/>
          <w:i/>
          <w:lang w:val="es-ES"/>
        </w:rPr>
        <w:t xml:space="preserve">Consideraciones éticas </w:t>
      </w:r>
    </w:p>
    <w:p w:rsidR="00A358B1" w:rsidRPr="00A358B1" w:rsidRDefault="00A358B1" w:rsidP="00A358B1">
      <w:pPr>
        <w:spacing w:line="360" w:lineRule="auto"/>
        <w:rPr>
          <w:rFonts w:ascii="Arial" w:hAnsi="Arial" w:cs="Arial"/>
          <w:i/>
          <w:lang w:val="es-ES"/>
        </w:rPr>
      </w:pPr>
    </w:p>
    <w:p w:rsidR="00A358B1" w:rsidRPr="00A358B1" w:rsidRDefault="00A358B1" w:rsidP="00A358B1">
      <w:pPr>
        <w:pStyle w:val="Sinespaciado"/>
        <w:spacing w:line="360" w:lineRule="auto"/>
        <w:rPr>
          <w:rFonts w:ascii="Arial" w:hAnsi="Arial" w:cs="Arial"/>
          <w:sz w:val="24"/>
          <w:szCs w:val="24"/>
        </w:rPr>
      </w:pPr>
      <w:r w:rsidRPr="00A358B1">
        <w:rPr>
          <w:rFonts w:ascii="Arial" w:hAnsi="Arial" w:cs="Arial"/>
          <w:sz w:val="24"/>
          <w:szCs w:val="24"/>
        </w:rPr>
        <w:t>Este proyecto fue aprobado por el comité de Ética de Investigación en Humanos de la Fundación Clínica Valle de Lili, según acta No. 277-2017 del 3 de Mayo del 2017. Todos los investigadores manifestaron no tener conflicto de intereses.</w:t>
      </w:r>
    </w:p>
    <w:p w:rsidR="00A358B1" w:rsidRPr="00A358B1" w:rsidRDefault="00A358B1" w:rsidP="00A358B1">
      <w:pPr>
        <w:spacing w:line="360" w:lineRule="auto"/>
        <w:rPr>
          <w:rFonts w:ascii="Arial" w:hAnsi="Arial" w:cs="Arial"/>
          <w:lang w:val="es-ES"/>
        </w:rPr>
      </w:pPr>
    </w:p>
    <w:p w:rsidR="00A358B1" w:rsidRPr="00A358B1" w:rsidRDefault="00A358B1" w:rsidP="00A358B1">
      <w:pPr>
        <w:spacing w:line="360" w:lineRule="auto"/>
        <w:rPr>
          <w:rFonts w:ascii="Arial" w:hAnsi="Arial" w:cs="Arial"/>
          <w:b/>
          <w:lang w:val="es-ES"/>
        </w:rPr>
      </w:pPr>
      <w:r w:rsidRPr="00A358B1">
        <w:rPr>
          <w:rFonts w:ascii="Arial" w:hAnsi="Arial" w:cs="Arial"/>
          <w:b/>
          <w:lang w:val="es-ES"/>
        </w:rPr>
        <w:t>Resultados</w:t>
      </w:r>
    </w:p>
    <w:p w:rsidR="00A358B1" w:rsidRPr="00A358B1" w:rsidRDefault="00A358B1" w:rsidP="00A358B1">
      <w:pPr>
        <w:spacing w:line="360" w:lineRule="auto"/>
        <w:rPr>
          <w:rFonts w:ascii="Arial" w:hAnsi="Arial" w:cs="Arial"/>
          <w:b/>
          <w:lang w:val="es-ES"/>
        </w:rPr>
      </w:pPr>
    </w:p>
    <w:p w:rsidR="00A358B1" w:rsidRPr="00A358B1" w:rsidRDefault="00A358B1" w:rsidP="00A358B1">
      <w:pPr>
        <w:spacing w:line="360" w:lineRule="auto"/>
        <w:rPr>
          <w:rFonts w:ascii="Arial" w:hAnsi="Arial" w:cs="Arial"/>
          <w:lang w:val="es-ES"/>
        </w:rPr>
      </w:pPr>
      <w:r w:rsidRPr="00A358B1">
        <w:rPr>
          <w:rFonts w:ascii="Arial" w:hAnsi="Arial" w:cs="Arial"/>
          <w:lang w:val="es-ES"/>
        </w:rPr>
        <w:t xml:space="preserve">En el estudio se evaluaron 232 historias clínicas de pacientes con hepatitis C tomado por diagnóstico cie-10, quienes consultaron al servicio de consulta externa de </w:t>
      </w:r>
      <w:proofErr w:type="spellStart"/>
      <w:r w:rsidRPr="00A358B1">
        <w:rPr>
          <w:rFonts w:ascii="Arial" w:hAnsi="Arial" w:cs="Arial"/>
          <w:lang w:val="es-ES"/>
        </w:rPr>
        <w:t>Gastro</w:t>
      </w:r>
      <w:proofErr w:type="spellEnd"/>
      <w:r w:rsidRPr="00A358B1">
        <w:rPr>
          <w:rFonts w:ascii="Arial" w:hAnsi="Arial" w:cs="Arial"/>
          <w:lang w:val="es-ES"/>
        </w:rPr>
        <w:t xml:space="preserve">-hepatología de la Fundación Valle de Lili, entre el 1 de enero del 2011 y el 31 de diciembre de 2016. De esta población se admitieron 214 pacientes que cumplían con los criterios de inclusión y los 18 restantes fueron excluidos por no poseer diagnóstico confirmado de la infección por VHC o por haber fallecido al momento de la recolección de los datos, pues la mortalidad no fue objeto del presente estudio. Las características generales de esta población se encuentran en la </w:t>
      </w:r>
      <w:r w:rsidRPr="00A358B1">
        <w:rPr>
          <w:rFonts w:ascii="Arial" w:hAnsi="Arial" w:cs="Arial"/>
          <w:b/>
          <w:i/>
          <w:lang w:val="es-ES"/>
        </w:rPr>
        <w:t>tabla 1</w:t>
      </w:r>
      <w:r w:rsidRPr="00A358B1">
        <w:rPr>
          <w:rFonts w:ascii="Arial" w:hAnsi="Arial" w:cs="Arial"/>
          <w:lang w:val="es-ES"/>
        </w:rPr>
        <w:t xml:space="preserve">.  </w:t>
      </w:r>
    </w:p>
    <w:p w:rsidR="00A358B1" w:rsidRPr="00A358B1" w:rsidRDefault="00A358B1" w:rsidP="00A358B1">
      <w:pPr>
        <w:spacing w:line="360" w:lineRule="auto"/>
        <w:rPr>
          <w:rFonts w:ascii="Arial" w:hAnsi="Arial" w:cs="Arial"/>
          <w:b/>
          <w:color w:val="000000" w:themeColor="text1"/>
          <w:lang w:val="es-ES"/>
        </w:rPr>
      </w:pPr>
    </w:p>
    <w:p w:rsidR="00A358B1" w:rsidRPr="00A358B1" w:rsidRDefault="00A358B1" w:rsidP="00A358B1">
      <w:pPr>
        <w:spacing w:line="360" w:lineRule="auto"/>
        <w:rPr>
          <w:rFonts w:ascii="Arial" w:hAnsi="Arial" w:cs="Arial"/>
          <w:color w:val="000000" w:themeColor="text1"/>
          <w:lang w:val="es-ES"/>
        </w:rPr>
      </w:pPr>
      <w:r w:rsidRPr="00A358B1">
        <w:rPr>
          <w:rFonts w:ascii="Arial" w:hAnsi="Arial" w:cs="Arial"/>
          <w:color w:val="000000" w:themeColor="text1"/>
          <w:lang w:val="es-ES"/>
        </w:rPr>
        <w:t xml:space="preserve">Se evaluaron también los antecedentes relacionados con el contagio del virus </w:t>
      </w:r>
      <w:r w:rsidRPr="00A358B1">
        <w:rPr>
          <w:rFonts w:ascii="Arial" w:hAnsi="Arial" w:cs="Arial"/>
          <w:b/>
          <w:color w:val="000000" w:themeColor="text1"/>
          <w:lang w:val="es-ES"/>
        </w:rPr>
        <w:t>(</w:t>
      </w:r>
      <w:r w:rsidRPr="00A358B1">
        <w:rPr>
          <w:rFonts w:ascii="Arial" w:hAnsi="Arial" w:cs="Arial"/>
          <w:b/>
          <w:i/>
          <w:color w:val="000000" w:themeColor="text1"/>
          <w:lang w:val="es-ES"/>
        </w:rPr>
        <w:t>tabla 2</w:t>
      </w:r>
      <w:r w:rsidRPr="00A358B1">
        <w:rPr>
          <w:rFonts w:ascii="Arial" w:hAnsi="Arial" w:cs="Arial"/>
          <w:color w:val="000000" w:themeColor="text1"/>
          <w:lang w:val="es-ES"/>
        </w:rPr>
        <w:t>), encontrándose que en términos generales la mayoría de los pacientes (75%) habían sido sometidos al menos a un procedimiento quirúrgico, con un promedio general de 1,34 cirugías por paciente. En relación al antecedente de trasplante, el renal fue el más frecuente (64,2%). El trasplante Hepático se encontró con menor prevalencia y no hay claridad en las historias clínicas si el contagio con el virus fue previo a la enfermedad hepática que llevo al paciente a requerir este procedimiento.</w:t>
      </w:r>
    </w:p>
    <w:p w:rsidR="00A358B1" w:rsidRPr="00A358B1" w:rsidRDefault="00A358B1" w:rsidP="00A358B1">
      <w:pPr>
        <w:spacing w:line="360" w:lineRule="auto"/>
        <w:rPr>
          <w:rFonts w:ascii="Arial" w:hAnsi="Arial" w:cs="Arial"/>
          <w:color w:val="000000" w:themeColor="text1"/>
          <w:lang w:val="es-ES"/>
        </w:rPr>
      </w:pPr>
    </w:p>
    <w:p w:rsidR="00A358B1" w:rsidRPr="00A358B1" w:rsidRDefault="00A358B1" w:rsidP="00A358B1">
      <w:pPr>
        <w:spacing w:line="360" w:lineRule="auto"/>
        <w:rPr>
          <w:rFonts w:ascii="Arial" w:hAnsi="Arial" w:cs="Arial"/>
          <w:color w:val="000000" w:themeColor="text1"/>
          <w:lang w:val="es-ES"/>
        </w:rPr>
      </w:pPr>
      <w:r w:rsidRPr="00A358B1">
        <w:rPr>
          <w:rFonts w:ascii="Arial" w:hAnsi="Arial" w:cs="Arial"/>
          <w:color w:val="000000" w:themeColor="text1"/>
          <w:lang w:val="es-ES"/>
        </w:rPr>
        <w:t xml:space="preserve">Es ampliamente reconocido que los pacientes con enfermedades hematológicas, requieren trasfusión de hemoderivados de manera frecuente a lo largo de la vida. Es por ello que presentan un mayor riesgo de contagio del VHC por esta vía. En la población analizada, se encontró que el 6,5% de los pacientes presentaban alguna alteración de esta naturaleza, con la mayor prevalencia de hemofilia (42,8%), </w:t>
      </w:r>
      <w:r w:rsidRPr="00A358B1">
        <w:rPr>
          <w:rFonts w:ascii="Arial" w:hAnsi="Arial" w:cs="Arial"/>
          <w:color w:val="000000" w:themeColor="text1"/>
          <w:lang w:val="es-ES"/>
        </w:rPr>
        <w:lastRenderedPageBreak/>
        <w:t>seguida de la Anemia de células falciformes (21,4%) y de neoplasias de la línea blanca (21,4%).</w:t>
      </w:r>
    </w:p>
    <w:p w:rsidR="00A358B1" w:rsidRPr="00A358B1" w:rsidRDefault="00A358B1" w:rsidP="00A358B1">
      <w:pPr>
        <w:spacing w:line="360" w:lineRule="auto"/>
        <w:rPr>
          <w:rFonts w:ascii="Arial" w:hAnsi="Arial" w:cs="Arial"/>
          <w:color w:val="000000" w:themeColor="text1"/>
          <w:lang w:val="es-ES"/>
        </w:rPr>
      </w:pPr>
    </w:p>
    <w:p w:rsidR="00A358B1" w:rsidRPr="00A358B1" w:rsidRDefault="00A358B1" w:rsidP="00A358B1">
      <w:pPr>
        <w:spacing w:line="360" w:lineRule="auto"/>
        <w:rPr>
          <w:rFonts w:ascii="Arial" w:hAnsi="Arial" w:cs="Arial"/>
          <w:b/>
          <w:color w:val="000000" w:themeColor="text1"/>
          <w:lang w:val="es-ES"/>
        </w:rPr>
      </w:pPr>
    </w:p>
    <w:p w:rsidR="00A358B1" w:rsidRDefault="00A358B1" w:rsidP="00A358B1">
      <w:pPr>
        <w:spacing w:line="360" w:lineRule="auto"/>
        <w:rPr>
          <w:rFonts w:ascii="Arial" w:hAnsi="Arial" w:cs="Arial"/>
          <w:lang w:val="es-ES"/>
        </w:rPr>
      </w:pPr>
      <w:r w:rsidRPr="00A358B1">
        <w:rPr>
          <w:rFonts w:ascii="Arial" w:hAnsi="Arial" w:cs="Arial"/>
          <w:lang w:val="es-ES"/>
        </w:rPr>
        <w:t>Se analizaron como factores asociados a la presencia de hepatitis C el antecedente de tatuajes y/o transfusiones de hemoderivados. El 6.07% de los pacientes tenían consignado en la historia clínica algún tatuaje. Las transfusiones de hemoderivados presentaron una prevalencia de 36.92% de transfusiones entre los pacientes con infección por HCV crónica. De las 59 personas con antecedente de transfusión, la mayoría fueron de género femenino (64.5%). Del total de los transfundidos el 53.16% se encontraban entre los 51 y los 70 años, cerca del 25% eran mayores de 70 años (</w:t>
      </w:r>
      <w:r w:rsidRPr="00A358B1">
        <w:rPr>
          <w:rFonts w:ascii="Arial" w:hAnsi="Arial" w:cs="Arial"/>
          <w:b/>
          <w:lang w:val="es-ES"/>
        </w:rPr>
        <w:t>tabla 3</w:t>
      </w:r>
      <w:r w:rsidRPr="00A358B1">
        <w:rPr>
          <w:rFonts w:ascii="Arial" w:hAnsi="Arial" w:cs="Arial"/>
          <w:lang w:val="es-ES"/>
        </w:rPr>
        <w:t xml:space="preserve">), con lo que se concluye que los mayores de 50 años presentaron con mayor frecuencia antecedente transfusional. Sin embargo, estas asociaciones no fueron estadísticamente significativas. </w:t>
      </w:r>
    </w:p>
    <w:p w:rsidR="00A358B1" w:rsidRPr="00A358B1" w:rsidRDefault="00A358B1" w:rsidP="00A358B1">
      <w:pPr>
        <w:spacing w:line="360" w:lineRule="auto"/>
        <w:rPr>
          <w:rFonts w:ascii="Arial" w:hAnsi="Arial" w:cs="Arial"/>
          <w:lang w:val="es-ES"/>
        </w:rPr>
      </w:pPr>
      <w:r w:rsidRPr="00A358B1">
        <w:rPr>
          <w:rFonts w:ascii="Arial" w:hAnsi="Arial" w:cs="Arial"/>
          <w:lang w:val="es-ES"/>
        </w:rPr>
        <w:t>La coinfección de HIV y hepatitis B también fue estimada. Se encontraron 4 paciente con Hepatitis B (1.86%) y VHC de forma simultanea y 11 pacientes con VIH (5.14%). De estos últimos el 100% fueron de sexo masculino y solo 1 de los cuatro pacientes con VHB fue de sexo femenino.  La mayoría (63.6%) de los pacientes con VIH presentaban coinfección con VHC del genotipo 1A.</w:t>
      </w:r>
    </w:p>
    <w:p w:rsidR="00A358B1" w:rsidRPr="00A358B1" w:rsidRDefault="00A358B1" w:rsidP="00A358B1">
      <w:pPr>
        <w:spacing w:line="360" w:lineRule="auto"/>
        <w:rPr>
          <w:rFonts w:ascii="Arial" w:hAnsi="Arial" w:cs="Arial"/>
          <w:lang w:val="es-ES"/>
        </w:rPr>
      </w:pPr>
    </w:p>
    <w:p w:rsidR="00A358B1" w:rsidRPr="00A358B1" w:rsidRDefault="00A358B1" w:rsidP="00A358B1">
      <w:pPr>
        <w:spacing w:line="360" w:lineRule="auto"/>
        <w:rPr>
          <w:rFonts w:ascii="Arial" w:hAnsi="Arial" w:cs="Arial"/>
          <w:lang w:val="es-ES"/>
        </w:rPr>
      </w:pPr>
      <w:r w:rsidRPr="00A358B1">
        <w:rPr>
          <w:rFonts w:ascii="Arial" w:hAnsi="Arial" w:cs="Arial"/>
          <w:lang w:val="es-ES"/>
        </w:rPr>
        <w:t>La complicación más frecuentemente encontrada en los pacientes con infección crónica por VHC fue la cirrosis, con una prevalencia del 29.4% y el hepatocarcinoma se encontró en cerca del 3.3% de los pacientes.</w:t>
      </w:r>
    </w:p>
    <w:p w:rsidR="00A358B1" w:rsidRPr="00A358B1" w:rsidRDefault="00A358B1" w:rsidP="00A358B1">
      <w:pPr>
        <w:spacing w:line="360" w:lineRule="auto"/>
        <w:rPr>
          <w:rFonts w:ascii="Arial" w:hAnsi="Arial" w:cs="Arial"/>
          <w:lang w:val="es-ES"/>
        </w:rPr>
      </w:pPr>
    </w:p>
    <w:p w:rsidR="00A358B1" w:rsidRPr="00A358B1" w:rsidRDefault="00A358B1" w:rsidP="00A358B1">
      <w:pPr>
        <w:spacing w:line="360" w:lineRule="auto"/>
        <w:rPr>
          <w:rFonts w:ascii="Arial" w:hAnsi="Arial" w:cs="Arial"/>
          <w:lang w:val="es-ES"/>
        </w:rPr>
      </w:pPr>
      <w:r w:rsidRPr="00A358B1">
        <w:rPr>
          <w:rFonts w:ascii="Arial" w:hAnsi="Arial" w:cs="Arial"/>
          <w:lang w:val="es-ES"/>
        </w:rPr>
        <w:t xml:space="preserve">En lo referente a la </w:t>
      </w:r>
      <w:proofErr w:type="spellStart"/>
      <w:r w:rsidRPr="00A358B1">
        <w:rPr>
          <w:rFonts w:ascii="Arial" w:hAnsi="Arial" w:cs="Arial"/>
          <w:lang w:val="es-ES"/>
        </w:rPr>
        <w:t>genotipificación</w:t>
      </w:r>
      <w:proofErr w:type="spellEnd"/>
      <w:r w:rsidRPr="00A358B1">
        <w:rPr>
          <w:rFonts w:ascii="Arial" w:hAnsi="Arial" w:cs="Arial"/>
          <w:lang w:val="es-ES"/>
        </w:rPr>
        <w:t xml:space="preserve"> de los pacientes se observó que el 75% tenían genotipo 1B, el 13% tenían genotipo 1A y el 12% restante pertenecían a los otros genotipos </w:t>
      </w:r>
      <w:r w:rsidRPr="00A358B1">
        <w:rPr>
          <w:rFonts w:ascii="Arial" w:hAnsi="Arial" w:cs="Arial"/>
          <w:b/>
          <w:lang w:val="es-ES"/>
        </w:rPr>
        <w:t>(2)</w:t>
      </w:r>
      <w:r w:rsidRPr="00A358B1">
        <w:rPr>
          <w:rFonts w:ascii="Arial" w:hAnsi="Arial" w:cs="Arial"/>
          <w:lang w:val="es-ES"/>
        </w:rPr>
        <w:t xml:space="preserve"> (</w:t>
      </w:r>
      <w:r w:rsidRPr="00A358B1">
        <w:rPr>
          <w:rFonts w:ascii="Arial" w:hAnsi="Arial" w:cs="Arial"/>
          <w:b/>
          <w:lang w:val="es-ES"/>
        </w:rPr>
        <w:t>Grafico 1</w:t>
      </w:r>
      <w:r w:rsidRPr="00A358B1">
        <w:rPr>
          <w:rFonts w:ascii="Arial" w:hAnsi="Arial" w:cs="Arial"/>
          <w:lang w:val="es-ES"/>
        </w:rPr>
        <w:t xml:space="preserve">). De los 117 pacientes con genotipo 1B, la mayoría (72 individuos) nacieron entre 1941 y 1960. La presencia de cirrosis entre pacientes con genotipo 1B fue del 67,5%, con una P de 0,70. </w:t>
      </w:r>
    </w:p>
    <w:p w:rsidR="00A358B1" w:rsidRPr="00A358B1" w:rsidRDefault="00A358B1" w:rsidP="00A358B1">
      <w:pPr>
        <w:spacing w:line="360" w:lineRule="auto"/>
        <w:rPr>
          <w:rFonts w:ascii="Arial" w:hAnsi="Arial" w:cs="Arial"/>
          <w:lang w:val="es-ES"/>
        </w:rPr>
      </w:pPr>
    </w:p>
    <w:p w:rsidR="00A358B1" w:rsidRPr="00A358B1" w:rsidRDefault="00A358B1" w:rsidP="00A358B1">
      <w:pPr>
        <w:spacing w:line="360" w:lineRule="auto"/>
        <w:rPr>
          <w:rFonts w:ascii="Arial" w:hAnsi="Arial" w:cs="Arial"/>
          <w:lang w:val="es-ES"/>
        </w:rPr>
      </w:pPr>
      <w:r w:rsidRPr="00A358B1">
        <w:rPr>
          <w:rFonts w:ascii="Arial" w:hAnsi="Arial" w:cs="Arial"/>
          <w:b/>
          <w:lang w:val="es-ES"/>
        </w:rPr>
        <w:t>Discusión</w:t>
      </w:r>
    </w:p>
    <w:p w:rsidR="00A358B1" w:rsidRPr="00A358B1" w:rsidRDefault="00A358B1" w:rsidP="00A358B1">
      <w:pPr>
        <w:spacing w:line="360" w:lineRule="auto"/>
        <w:rPr>
          <w:rStyle w:val="apple-style-span"/>
          <w:rFonts w:ascii="Arial" w:hAnsi="Arial" w:cs="Arial"/>
          <w:color w:val="000000"/>
        </w:rPr>
      </w:pPr>
    </w:p>
    <w:p w:rsidR="00A358B1" w:rsidRPr="00A358B1" w:rsidRDefault="00A358B1" w:rsidP="00A358B1">
      <w:pPr>
        <w:spacing w:line="360" w:lineRule="auto"/>
        <w:rPr>
          <w:rStyle w:val="apple-style-span"/>
          <w:rFonts w:ascii="Arial" w:hAnsi="Arial" w:cs="Arial"/>
          <w:color w:val="000000"/>
          <w:lang w:val="es-ES"/>
        </w:rPr>
      </w:pPr>
      <w:r w:rsidRPr="00A358B1">
        <w:rPr>
          <w:rStyle w:val="apple-style-span"/>
          <w:rFonts w:ascii="Arial" w:hAnsi="Arial" w:cs="Arial"/>
          <w:color w:val="000000"/>
          <w:lang w:val="es-ES"/>
        </w:rPr>
        <w:t xml:space="preserve">En el estudio se evidenció una mayor prevalencia de mujeres infectadas (61,6%) en nuestro medio, con una tendencia similar a la de los reportes epidemiológicos más recientes en USA, donde el 52% de los infectados son mujeres </w:t>
      </w:r>
      <w:r w:rsidRPr="00A358B1">
        <w:rPr>
          <w:rStyle w:val="apple-style-span"/>
          <w:rFonts w:ascii="Arial" w:hAnsi="Arial" w:cs="Arial"/>
          <w:b/>
          <w:color w:val="000000"/>
          <w:lang w:val="es-ES"/>
        </w:rPr>
        <w:t>(12)</w:t>
      </w:r>
      <w:r w:rsidRPr="00A358B1">
        <w:rPr>
          <w:rStyle w:val="apple-style-span"/>
          <w:rFonts w:ascii="Arial" w:hAnsi="Arial" w:cs="Arial"/>
          <w:color w:val="000000"/>
          <w:lang w:val="es-ES"/>
        </w:rPr>
        <w:t>.</w:t>
      </w:r>
      <w:r w:rsidRPr="00A358B1">
        <w:rPr>
          <w:rStyle w:val="apple-style-span"/>
          <w:rFonts w:ascii="Arial" w:hAnsi="Arial" w:cs="Arial"/>
          <w:b/>
          <w:color w:val="000000"/>
          <w:lang w:val="es-ES"/>
        </w:rPr>
        <w:t xml:space="preserve">  </w:t>
      </w:r>
      <w:r w:rsidRPr="00A358B1">
        <w:rPr>
          <w:rStyle w:val="apple-style-span"/>
          <w:rFonts w:ascii="Arial" w:hAnsi="Arial" w:cs="Arial"/>
          <w:color w:val="000000"/>
          <w:lang w:val="es-ES"/>
        </w:rPr>
        <w:t xml:space="preserve">La mayoría de individuos fueron adultos en la quinta década de la vida, con la mayor proporción (54,7%) de pacientes nacidos entre 1941 y 1960, a diferencia de la prevalencia encontrada en un estudio realizado por Smith et al, donde la basta mayoría (cerca del 80%) de los pacientes son nacidos entre 1945 y 1965 </w:t>
      </w:r>
      <w:r w:rsidRPr="00A358B1">
        <w:rPr>
          <w:rStyle w:val="apple-style-span"/>
          <w:rFonts w:ascii="Arial" w:hAnsi="Arial" w:cs="Arial"/>
          <w:b/>
          <w:color w:val="000000"/>
          <w:lang w:val="es-ES"/>
        </w:rPr>
        <w:t>(13).</w:t>
      </w:r>
      <w:r w:rsidRPr="00A358B1">
        <w:rPr>
          <w:rStyle w:val="apple-style-span"/>
          <w:rFonts w:ascii="Arial" w:hAnsi="Arial" w:cs="Arial"/>
          <w:color w:val="000000"/>
          <w:lang w:val="es-ES"/>
        </w:rPr>
        <w:t xml:space="preserve"> </w:t>
      </w:r>
    </w:p>
    <w:p w:rsidR="00A358B1" w:rsidRPr="00A358B1" w:rsidRDefault="00A358B1" w:rsidP="00A358B1">
      <w:pPr>
        <w:spacing w:line="360" w:lineRule="auto"/>
        <w:rPr>
          <w:rStyle w:val="apple-style-span"/>
          <w:rFonts w:ascii="Arial" w:hAnsi="Arial" w:cs="Arial"/>
          <w:color w:val="000000"/>
          <w:lang w:val="es-ES"/>
        </w:rPr>
      </w:pPr>
    </w:p>
    <w:p w:rsidR="00A358B1" w:rsidRPr="00A358B1" w:rsidRDefault="00A358B1" w:rsidP="00A358B1">
      <w:pPr>
        <w:spacing w:line="360" w:lineRule="auto"/>
        <w:rPr>
          <w:rStyle w:val="apple-style-span"/>
          <w:rFonts w:ascii="Arial" w:hAnsi="Arial" w:cs="Arial"/>
          <w:color w:val="000000"/>
          <w:lang w:val="es-ES"/>
        </w:rPr>
      </w:pPr>
      <w:r w:rsidRPr="00A358B1">
        <w:rPr>
          <w:rStyle w:val="apple-style-span"/>
          <w:rFonts w:ascii="Arial" w:hAnsi="Arial" w:cs="Arial"/>
          <w:color w:val="000000"/>
          <w:lang w:val="es-ES"/>
        </w:rPr>
        <w:t xml:space="preserve">Las estadísticas nacionales reportadas por el instituto nacional de salud (SIVIGILA), reportan  que a nivel nacional para el 2017 se observo un predominio </w:t>
      </w:r>
      <w:r w:rsidRPr="00A358B1">
        <w:rPr>
          <w:rFonts w:ascii="Arial" w:hAnsi="Arial" w:cs="Arial"/>
        </w:rPr>
        <w:t xml:space="preserve">predominio en la proporción del sexo masculino (57,3 %), sin embargo estas proporciones por sexo varían según departamentos y distritos. Respecto a la distribución de los casos de hepatitis C por grupo de edad, la mayor proporción reportada fue de 26,4 % para las poblaciones con edades entre 65 y más años </w:t>
      </w:r>
      <w:r w:rsidRPr="00A358B1">
        <w:rPr>
          <w:rFonts w:ascii="Arial" w:hAnsi="Arial" w:cs="Arial"/>
          <w:b/>
        </w:rPr>
        <w:t>(14)</w:t>
      </w:r>
      <w:r w:rsidRPr="00A358B1">
        <w:rPr>
          <w:rFonts w:ascii="Arial" w:hAnsi="Arial" w:cs="Arial"/>
        </w:rPr>
        <w:t xml:space="preserve">. </w:t>
      </w:r>
      <w:r w:rsidRPr="00A358B1">
        <w:rPr>
          <w:rStyle w:val="apple-style-span"/>
          <w:rFonts w:ascii="Arial" w:hAnsi="Arial" w:cs="Arial"/>
          <w:color w:val="000000"/>
          <w:lang w:val="es-ES"/>
        </w:rPr>
        <w:t xml:space="preserve">Este hallazgo cobra especial importancia al evaluar los factores de riesgo para el contagio del VHC, pues antes de los noventa en Colombia no se realizaba tamizaje de rutina para VHC de los hemoderivados en los bancos de sangre, </w:t>
      </w:r>
      <w:r w:rsidRPr="00A358B1">
        <w:rPr>
          <w:rStyle w:val="apple-style-span"/>
          <w:rFonts w:ascii="Arial" w:hAnsi="Arial" w:cs="Arial"/>
          <w:color w:val="000000" w:themeColor="text1"/>
          <w:lang w:val="es-ES"/>
        </w:rPr>
        <w:t xml:space="preserve">como lo reporta de la Hoz et al en el consenso colombiano de Hepatitis C </w:t>
      </w:r>
      <w:r w:rsidRPr="00A358B1">
        <w:rPr>
          <w:rStyle w:val="apple-style-span"/>
          <w:rFonts w:ascii="Arial" w:hAnsi="Arial" w:cs="Arial"/>
          <w:b/>
          <w:color w:val="000000" w:themeColor="text1"/>
          <w:lang w:val="es-ES"/>
        </w:rPr>
        <w:t>(17)</w:t>
      </w:r>
      <w:r w:rsidRPr="00A358B1">
        <w:rPr>
          <w:rStyle w:val="apple-style-span"/>
          <w:rFonts w:ascii="Arial" w:hAnsi="Arial" w:cs="Arial"/>
          <w:color w:val="000000" w:themeColor="text1"/>
          <w:lang w:val="es-ES"/>
        </w:rPr>
        <w:t xml:space="preserve"> la probabilidad de contraer el virus entre las personas transfundidas era del 1,5% para 1992 en el país. </w:t>
      </w:r>
      <w:r w:rsidRPr="00A358B1">
        <w:rPr>
          <w:rStyle w:val="apple-style-span"/>
          <w:rFonts w:ascii="Arial" w:hAnsi="Arial" w:cs="Arial"/>
          <w:color w:val="000000"/>
          <w:lang w:val="es-ES"/>
        </w:rPr>
        <w:t xml:space="preserve">Por lo tanto, es posible que esta haya sido la fuente de contagio de una buena proporción de los pacientes nacidos en esta época.  </w:t>
      </w:r>
    </w:p>
    <w:p w:rsidR="00A358B1" w:rsidRPr="00A358B1" w:rsidRDefault="00A358B1" w:rsidP="00A358B1">
      <w:pPr>
        <w:spacing w:line="360" w:lineRule="auto"/>
        <w:rPr>
          <w:rStyle w:val="apple-style-span"/>
          <w:rFonts w:ascii="Arial" w:hAnsi="Arial" w:cs="Arial"/>
          <w:color w:val="FF0000"/>
          <w:lang w:val="es-ES"/>
        </w:rPr>
      </w:pPr>
    </w:p>
    <w:p w:rsidR="00A358B1" w:rsidRPr="00A358B1" w:rsidRDefault="00A358B1" w:rsidP="00A358B1">
      <w:pPr>
        <w:spacing w:line="360" w:lineRule="auto"/>
        <w:rPr>
          <w:rStyle w:val="apple-style-span"/>
          <w:rFonts w:ascii="Arial" w:hAnsi="Arial" w:cs="Arial"/>
          <w:color w:val="000000" w:themeColor="text1"/>
        </w:rPr>
      </w:pPr>
      <w:r w:rsidRPr="00A358B1">
        <w:rPr>
          <w:rStyle w:val="apple-style-span"/>
          <w:rFonts w:ascii="Arial" w:hAnsi="Arial" w:cs="Arial"/>
          <w:color w:val="000000" w:themeColor="text1"/>
          <w:lang w:val="es-ES"/>
        </w:rPr>
        <w:t xml:space="preserve">Los tatuajes son un factor de riesgo ampliamente reconocido para la trasmisión del virus de la hepatitis C, tanto por el uso de las agujas contaminadas, como por las lesiones en piel y mucosas, que dejan expuestas las barreras epiteliales a la infección por el virus. En nuestra población se evidencio que cerca del 6% de los individuos tenían entre sus antecedentes los tatuajes. Sin embargo, en las historias clínicas no esta consignado con claridad el lugar en el que se realizó, el momento (si fue antes o después del diagnóstico de la infección), ni las condiciones de bioseguridad bajo las cuales se realizó.  Esta información es de </w:t>
      </w:r>
      <w:r w:rsidRPr="00A358B1">
        <w:rPr>
          <w:rStyle w:val="apple-style-span"/>
          <w:rFonts w:ascii="Arial" w:hAnsi="Arial" w:cs="Arial"/>
          <w:color w:val="000000" w:themeColor="text1"/>
          <w:lang w:val="es-ES"/>
        </w:rPr>
        <w:lastRenderedPageBreak/>
        <w:t>gran valor epidemiológico, pero fue dificil precisarla pues muchos pacientes fueron atendidos previamente en otras instituciones, donde esta información no se consigna de forma rutinaria. En las estadísticas nacionales (SIVIGILA 2017), se encontró una mención general de este importante factor de riesgo y en la ficha epidemiológica de reporte obligatorio nacional (</w:t>
      </w:r>
      <w:r w:rsidRPr="00A358B1">
        <w:rPr>
          <w:rStyle w:val="apple-style-span"/>
          <w:rFonts w:ascii="Arial" w:hAnsi="Arial" w:cs="Arial"/>
          <w:b/>
          <w:i/>
          <w:color w:val="000000" w:themeColor="text1"/>
          <w:lang w:val="es-ES"/>
        </w:rPr>
        <w:t>código INS 340</w:t>
      </w:r>
      <w:r w:rsidRPr="00A358B1">
        <w:rPr>
          <w:rStyle w:val="apple-style-span"/>
          <w:rFonts w:ascii="Arial" w:hAnsi="Arial" w:cs="Arial"/>
          <w:color w:val="000000" w:themeColor="text1"/>
          <w:lang w:val="es-ES"/>
        </w:rPr>
        <w:t xml:space="preserve">) se indaga sobre procedimientos: estéticos, </w:t>
      </w:r>
      <w:proofErr w:type="spellStart"/>
      <w:r w:rsidRPr="00A358B1">
        <w:rPr>
          <w:rStyle w:val="apple-style-span"/>
          <w:rFonts w:ascii="Arial" w:hAnsi="Arial" w:cs="Arial"/>
          <w:color w:val="000000" w:themeColor="text1"/>
          <w:lang w:val="es-ES"/>
        </w:rPr>
        <w:t>pircings</w:t>
      </w:r>
      <w:proofErr w:type="spellEnd"/>
      <w:r w:rsidRPr="00A358B1">
        <w:rPr>
          <w:rStyle w:val="apple-style-span"/>
          <w:rFonts w:ascii="Arial" w:hAnsi="Arial" w:cs="Arial"/>
          <w:color w:val="000000" w:themeColor="text1"/>
          <w:lang w:val="es-ES"/>
        </w:rPr>
        <w:t xml:space="preserve"> y tatuajes, pero no hay un lugar para el registro de las circunstancias sobre las cuales fueron hechos dichos procedimientos, por ende, es dificil reportar con mayor detalle datos que relacionen de forma estrecha la infección con el tipo de tatuaje y las condiciones bajo las cuales fue efectuado, siendo esta una limitante del estudio. </w:t>
      </w:r>
    </w:p>
    <w:p w:rsidR="00A358B1" w:rsidRPr="00A358B1" w:rsidRDefault="00A358B1" w:rsidP="00A358B1">
      <w:pPr>
        <w:spacing w:line="360" w:lineRule="auto"/>
        <w:rPr>
          <w:rStyle w:val="apple-style-span"/>
          <w:rFonts w:ascii="Arial" w:hAnsi="Arial" w:cs="Arial"/>
          <w:color w:val="000000" w:themeColor="text1"/>
          <w:lang w:val="es-ES"/>
        </w:rPr>
      </w:pPr>
    </w:p>
    <w:p w:rsidR="00A358B1" w:rsidRPr="00A358B1" w:rsidRDefault="00A358B1" w:rsidP="00A358B1">
      <w:pPr>
        <w:widowControl w:val="0"/>
        <w:autoSpaceDE w:val="0"/>
        <w:autoSpaceDN w:val="0"/>
        <w:adjustRightInd w:val="0"/>
        <w:spacing w:after="240" w:line="360" w:lineRule="auto"/>
        <w:rPr>
          <w:rStyle w:val="apple-style-span"/>
          <w:rFonts w:ascii="Arial" w:hAnsi="Arial" w:cs="Arial"/>
          <w:color w:val="000000" w:themeColor="text1"/>
          <w:lang w:val="es-ES"/>
        </w:rPr>
      </w:pPr>
      <w:r w:rsidRPr="00A358B1">
        <w:rPr>
          <w:rStyle w:val="apple-style-span"/>
          <w:rFonts w:ascii="Arial" w:hAnsi="Arial" w:cs="Arial"/>
          <w:color w:val="000000" w:themeColor="text1"/>
          <w:lang w:val="es-ES"/>
        </w:rPr>
        <w:t xml:space="preserve">Un factor asociado a la infección crónica importante en nuestra institución fue la trasfusión de hemoderivados, con una prevalencia del 36.9%. Esto coincide con lo encontrado en otras regiones del país, como lo descrito por Yepes, et al en un estudio de casos y controles realizado en la Costa Caribe Colombiana, donde se evidencio un OR significativo para este factor de riesgo </w:t>
      </w:r>
      <w:r w:rsidRPr="00A358B1">
        <w:rPr>
          <w:rStyle w:val="apple-style-span"/>
          <w:rFonts w:ascii="Arial" w:hAnsi="Arial" w:cs="Arial"/>
          <w:b/>
          <w:color w:val="000000" w:themeColor="text1"/>
          <w:lang w:val="es-ES"/>
        </w:rPr>
        <w:t xml:space="preserve">(16). </w:t>
      </w:r>
      <w:r w:rsidRPr="00A358B1">
        <w:rPr>
          <w:rStyle w:val="apple-style-span"/>
          <w:rFonts w:ascii="Arial" w:hAnsi="Arial" w:cs="Arial"/>
          <w:color w:val="000000" w:themeColor="text1"/>
          <w:lang w:val="es-ES"/>
        </w:rPr>
        <w:t xml:space="preserve">En el presente estudio se observo además,  una proporción de mujeres transfundidas ligeramente más alta (64.5%), las cuales en su mayoría tenían más de 50 años.  Sin embargo, al evaluar cuidadosamente los datos, la mayoría de las mujeres en esta población fueron sometidas a cirugías con bajo riesgo de sangrado, siendo más frecuente la histerectomía, en el 55.5% de las pacientes. Este procedimiento, presenta tasas bajas de hemorragia peri operatoria que van entre el 1 y 2% y pueden ser menores dependiendo del abordaje quirúrgico utilizado </w:t>
      </w:r>
      <w:r w:rsidRPr="00A358B1">
        <w:rPr>
          <w:rStyle w:val="apple-style-span"/>
          <w:rFonts w:ascii="Arial" w:hAnsi="Arial" w:cs="Arial"/>
          <w:b/>
          <w:color w:val="000000" w:themeColor="text1"/>
          <w:lang w:val="es-ES"/>
        </w:rPr>
        <w:t xml:space="preserve">(23). </w:t>
      </w:r>
    </w:p>
    <w:p w:rsidR="00A358B1" w:rsidRPr="00A358B1" w:rsidRDefault="00A358B1" w:rsidP="00A358B1">
      <w:pPr>
        <w:widowControl w:val="0"/>
        <w:autoSpaceDE w:val="0"/>
        <w:autoSpaceDN w:val="0"/>
        <w:adjustRightInd w:val="0"/>
        <w:spacing w:after="240" w:line="360" w:lineRule="auto"/>
        <w:rPr>
          <w:rStyle w:val="apple-style-span"/>
          <w:rFonts w:ascii="Arial" w:hAnsi="Arial" w:cs="Arial"/>
          <w:color w:val="000000" w:themeColor="text1"/>
          <w:lang w:val="es-ES"/>
        </w:rPr>
      </w:pPr>
      <w:r w:rsidRPr="00A358B1">
        <w:rPr>
          <w:rStyle w:val="apple-style-span"/>
          <w:rFonts w:ascii="Arial" w:hAnsi="Arial" w:cs="Arial"/>
          <w:color w:val="000000" w:themeColor="text1"/>
          <w:lang w:val="es-ES"/>
        </w:rPr>
        <w:t xml:space="preserve">En la población estudiada el factor de riesgo más importante encontrado fue el antecedente quirúrgico, observándose una prevalencia del 75% entre los pacientes con hepatitis C. La mayoría de estos habían sido sometidos a más de un procedimiento quirúrgico, con un total de 287 cirugías de diversa índole consignadas en las historias clínicas.  Cabe resaltar, que muchos de ellos no tenían consignados otros antecedentes o factores de riesgo para el contagio en su primera consulta a hepatología por la infección, por lo que se considera esta podría ser una significativa fuente de transmisión del virus. Frente a este </w:t>
      </w:r>
      <w:r w:rsidRPr="00A358B1">
        <w:rPr>
          <w:rStyle w:val="apple-style-span"/>
          <w:rFonts w:ascii="Arial" w:hAnsi="Arial" w:cs="Arial"/>
          <w:color w:val="000000" w:themeColor="text1"/>
          <w:lang w:val="es-ES"/>
        </w:rPr>
        <w:lastRenderedPageBreak/>
        <w:t xml:space="preserve">planteamiento es importante clarificar que es dificil establecer una relación causal, pues el diseño descriptivo del presente estudio no lo permite, su naturaleza retrospectiva hace dificil determinar si el momento de la cirugía fue realmente previo al contagio viral y si hay otros factores como el tiempo quirúrgico, el sangrado y el tipo de cirugía que favorezcan la infección. </w:t>
      </w:r>
    </w:p>
    <w:p w:rsidR="00A358B1" w:rsidRPr="00A358B1" w:rsidRDefault="00A358B1" w:rsidP="00A358B1">
      <w:pPr>
        <w:widowControl w:val="0"/>
        <w:autoSpaceDE w:val="0"/>
        <w:autoSpaceDN w:val="0"/>
        <w:adjustRightInd w:val="0"/>
        <w:spacing w:after="240" w:line="360" w:lineRule="auto"/>
        <w:rPr>
          <w:rStyle w:val="apple-style-span"/>
          <w:rFonts w:ascii="Arial" w:hAnsi="Arial" w:cs="Arial"/>
          <w:color w:val="000000" w:themeColor="text1"/>
          <w:lang w:val="es-ES"/>
        </w:rPr>
      </w:pPr>
      <w:r w:rsidRPr="00A358B1">
        <w:rPr>
          <w:rStyle w:val="apple-style-span"/>
          <w:rFonts w:ascii="Arial" w:hAnsi="Arial" w:cs="Arial"/>
          <w:color w:val="000000" w:themeColor="text1"/>
          <w:lang w:val="es-ES"/>
        </w:rPr>
        <w:t xml:space="preserve">Otro punto importante, es la incidencia de enfermedades hematológicas con alto requerimiento de trasfusiones entre los pacientes infectados. En nuestra institución se encontró este antecedente en el 6.5% de la población, siendo la hemofilia la patología más frecuente. Posiblemente por su alto riesgo de sangrados mayores. </w:t>
      </w:r>
    </w:p>
    <w:p w:rsidR="00A358B1" w:rsidRPr="00A358B1" w:rsidRDefault="00A358B1" w:rsidP="00A358B1">
      <w:pPr>
        <w:widowControl w:val="0"/>
        <w:autoSpaceDE w:val="0"/>
        <w:autoSpaceDN w:val="0"/>
        <w:adjustRightInd w:val="0"/>
        <w:spacing w:after="240" w:line="360" w:lineRule="auto"/>
        <w:rPr>
          <w:rFonts w:ascii="Arial" w:eastAsiaTheme="minorHAnsi" w:hAnsi="Arial" w:cs="Arial"/>
          <w:color w:val="000000"/>
          <w:lang w:eastAsia="en-US"/>
        </w:rPr>
      </w:pPr>
      <w:r w:rsidRPr="00A358B1">
        <w:rPr>
          <w:rStyle w:val="apple-style-span"/>
          <w:rFonts w:ascii="Arial" w:hAnsi="Arial" w:cs="Arial"/>
          <w:color w:val="000000"/>
          <w:lang w:val="es-ES"/>
        </w:rPr>
        <w:t xml:space="preserve">Con respecto al genotipo hay estudios colombianos previos, que soportan los hallazgos del presente estudio, en el que el genotipo más frecuente fue el 1B en cerca del 75% de los pacientes y el segundo fue el 1A en el 12%. </w:t>
      </w:r>
      <w:r w:rsidRPr="00A358B1">
        <w:rPr>
          <w:rStyle w:val="apple-style-span"/>
          <w:rFonts w:ascii="Arial" w:hAnsi="Arial" w:cs="Arial"/>
          <w:color w:val="000000" w:themeColor="text1"/>
          <w:lang w:val="es-ES"/>
        </w:rPr>
        <w:t xml:space="preserve">Santos, et al., </w:t>
      </w:r>
      <w:r w:rsidRPr="00A358B1">
        <w:rPr>
          <w:rStyle w:val="apple-style-span"/>
          <w:rFonts w:ascii="Arial" w:hAnsi="Arial" w:cs="Arial"/>
          <w:color w:val="000000"/>
          <w:lang w:val="es-ES"/>
        </w:rPr>
        <w:t xml:space="preserve">reporto en un estudio publicado en el 2017 un 70% de pacientes con genotipo 1B y un 13,5% con genotipo 1A, en ese estudio el objetivo fue </w:t>
      </w:r>
      <w:r w:rsidRPr="00A358B1">
        <w:rPr>
          <w:rFonts w:ascii="Arial" w:eastAsiaTheme="minorHAnsi" w:hAnsi="Arial" w:cs="Arial"/>
          <w:color w:val="000000" w:themeColor="text1"/>
          <w:lang w:val="es-ES" w:eastAsia="en-US"/>
        </w:rPr>
        <w:t xml:space="preserve">describir los genotipos y subtipos del virus de la hepatitis C en pacientes colombianos infectados </w:t>
      </w:r>
      <w:r w:rsidRPr="00A358B1">
        <w:rPr>
          <w:rFonts w:ascii="Arial" w:eastAsiaTheme="minorHAnsi" w:hAnsi="Arial" w:cs="Arial"/>
          <w:b/>
          <w:color w:val="000000"/>
          <w:lang w:val="es-ES" w:eastAsia="en-US"/>
        </w:rPr>
        <w:t>(20)</w:t>
      </w:r>
      <w:r w:rsidRPr="00A358B1">
        <w:rPr>
          <w:rFonts w:ascii="Arial" w:eastAsiaTheme="minorHAnsi" w:hAnsi="Arial" w:cs="Arial"/>
          <w:color w:val="000000"/>
          <w:lang w:val="es-ES" w:eastAsia="en-US"/>
        </w:rPr>
        <w:t>.</w:t>
      </w:r>
      <w:r w:rsidRPr="00A358B1">
        <w:rPr>
          <w:rFonts w:ascii="Arial" w:eastAsiaTheme="minorHAnsi" w:hAnsi="Arial" w:cs="Arial"/>
          <w:color w:val="000000" w:themeColor="text1"/>
          <w:lang w:val="es-ES" w:eastAsia="en-US"/>
        </w:rPr>
        <w:t xml:space="preserve"> </w:t>
      </w:r>
      <w:r w:rsidRPr="00A358B1">
        <w:rPr>
          <w:rFonts w:ascii="Arial" w:eastAsiaTheme="minorHAnsi" w:hAnsi="Arial" w:cs="Arial"/>
          <w:color w:val="000000"/>
          <w:lang w:val="es-ES" w:eastAsia="en-US"/>
        </w:rPr>
        <w:t>Adicionalmente, describieron que este hallazgo es importante debido a que el genotipo 1B se ha relacionado estrechamente con la aplicación de hemoderivados y procedimientos invasivos en los que ocurren sangrado y manipulación de mucosas. Lo anterior, posiblemente asociado a una inadecuada implementación de las medidas de bioseguridad. Por lo que se concluye este podría ser el principal factor asociado a la transmisión de le enfermedad en Colombia. Otra observación importante con respecto al genotipo, es el hecho de que los nuevos tratamientos antivirales directos han demostrado una tasa de éxito mayor contra el subtipo 1B, por lo que más del 70% de los infectados en Colombia podría recibir un tratamiento efectivo y libre de interferón.</w:t>
      </w:r>
    </w:p>
    <w:p w:rsidR="00A358B1" w:rsidRPr="00A358B1" w:rsidRDefault="00A358B1" w:rsidP="00A358B1">
      <w:pPr>
        <w:widowControl w:val="0"/>
        <w:autoSpaceDE w:val="0"/>
        <w:autoSpaceDN w:val="0"/>
        <w:adjustRightInd w:val="0"/>
        <w:spacing w:after="240" w:line="360" w:lineRule="auto"/>
        <w:rPr>
          <w:rFonts w:ascii="Arial" w:eastAsiaTheme="minorHAnsi" w:hAnsi="Arial" w:cs="Arial"/>
          <w:color w:val="FF0000"/>
          <w:lang w:val="es-ES" w:eastAsia="en-US"/>
        </w:rPr>
      </w:pPr>
      <w:r w:rsidRPr="00A358B1">
        <w:rPr>
          <w:rFonts w:ascii="Arial" w:eastAsiaTheme="minorHAnsi" w:hAnsi="Arial" w:cs="Arial"/>
          <w:color w:val="000000"/>
          <w:lang w:val="es-ES" w:eastAsia="en-US"/>
        </w:rPr>
        <w:t xml:space="preserve">La coinfección con HIV y el virus de la hepatitis C cobra especial importancia a la hora de realizar un adecuado abordaje diagnóstico y terapéutico en estos pacientes.  En un meta-análisis entre cerca de 780 estudios evaluando las poblaciones infectadas con HIV alrededor del mundo, la prevalencia general de la coinfección con HCV fue estimada en cerca del 6% </w:t>
      </w:r>
      <w:r w:rsidRPr="00A358B1">
        <w:rPr>
          <w:rFonts w:ascii="Arial" w:eastAsiaTheme="minorHAnsi" w:hAnsi="Arial" w:cs="Arial"/>
          <w:b/>
          <w:color w:val="000000"/>
          <w:lang w:val="es-ES" w:eastAsia="en-US"/>
        </w:rPr>
        <w:t>(21)</w:t>
      </w:r>
      <w:r w:rsidRPr="00A358B1">
        <w:rPr>
          <w:rFonts w:ascii="Arial" w:eastAsiaTheme="minorHAnsi" w:hAnsi="Arial" w:cs="Arial"/>
          <w:color w:val="000000"/>
          <w:lang w:val="es-ES" w:eastAsia="en-US"/>
        </w:rPr>
        <w:t xml:space="preserve">. En nuestro medio se </w:t>
      </w:r>
      <w:r w:rsidRPr="00A358B1">
        <w:rPr>
          <w:rFonts w:ascii="Arial" w:eastAsiaTheme="minorHAnsi" w:hAnsi="Arial" w:cs="Arial"/>
          <w:color w:val="000000"/>
          <w:lang w:val="es-ES" w:eastAsia="en-US"/>
        </w:rPr>
        <w:lastRenderedPageBreak/>
        <w:t xml:space="preserve">encontró una prevalecía del 5,14% con HIV, muy cercana a los datos epidemiológicos encontrados en la población mundial.  </w:t>
      </w:r>
      <w:r w:rsidRPr="00A358B1">
        <w:rPr>
          <w:rFonts w:ascii="Arial" w:eastAsiaTheme="minorHAnsi" w:hAnsi="Arial" w:cs="Arial"/>
          <w:color w:val="000000" w:themeColor="text1"/>
          <w:lang w:val="es-ES" w:eastAsia="en-US"/>
        </w:rPr>
        <w:t xml:space="preserve">En Colombia se ha documentado una alta prevalencia de la coinfección, sobretodo en pacientes usuarios de drogas endovenosas, principalmente en Armenia, Cúcuta y Bogotá, ciudades en las que se realizaron estudios en pacientes usuarios de estos </w:t>
      </w:r>
      <w:proofErr w:type="spellStart"/>
      <w:r w:rsidRPr="00A358B1">
        <w:rPr>
          <w:rFonts w:ascii="Arial" w:eastAsiaTheme="minorHAnsi" w:hAnsi="Arial" w:cs="Arial"/>
          <w:color w:val="000000" w:themeColor="text1"/>
          <w:lang w:val="es-ES" w:eastAsia="en-US"/>
        </w:rPr>
        <w:t>psicotóxicos</w:t>
      </w:r>
      <w:proofErr w:type="spellEnd"/>
      <w:r w:rsidRPr="00A358B1">
        <w:rPr>
          <w:rFonts w:ascii="Arial" w:eastAsiaTheme="minorHAnsi" w:hAnsi="Arial" w:cs="Arial"/>
          <w:color w:val="000000" w:themeColor="text1"/>
          <w:lang w:val="es-ES" w:eastAsia="en-US"/>
        </w:rPr>
        <w:t xml:space="preserve"> (</w:t>
      </w:r>
      <w:r w:rsidRPr="00A358B1">
        <w:rPr>
          <w:rFonts w:ascii="Arial" w:eastAsiaTheme="minorHAnsi" w:hAnsi="Arial" w:cs="Arial"/>
          <w:b/>
          <w:color w:val="000000" w:themeColor="text1"/>
          <w:lang w:val="es-ES" w:eastAsia="en-US"/>
        </w:rPr>
        <w:t>24, 19</w:t>
      </w:r>
      <w:r w:rsidRPr="00A358B1">
        <w:rPr>
          <w:rFonts w:ascii="Arial" w:eastAsiaTheme="minorHAnsi" w:hAnsi="Arial" w:cs="Arial"/>
          <w:color w:val="000000" w:themeColor="text1"/>
          <w:lang w:val="es-ES" w:eastAsia="en-US"/>
        </w:rPr>
        <w:t>). En estos dos estudios, se encontró como principales factores de riesgo las relaciones sexuales entre hombres del mismo sexo, y la falta de uso de preservativo, así cómo la promiscuidad. A pesar de la importancia epidemiológica de estos datos, en el presente estudio no fue posible determinar el número de parejas sexuales de los individuos coinfectados, pues en las historias clínicas no se consigno esta información de forma rutinaria.</w:t>
      </w:r>
    </w:p>
    <w:p w:rsidR="00A358B1" w:rsidRPr="00A358B1" w:rsidRDefault="00A358B1" w:rsidP="00A358B1">
      <w:pPr>
        <w:widowControl w:val="0"/>
        <w:autoSpaceDE w:val="0"/>
        <w:autoSpaceDN w:val="0"/>
        <w:adjustRightInd w:val="0"/>
        <w:spacing w:after="240" w:line="360" w:lineRule="auto"/>
        <w:rPr>
          <w:rFonts w:ascii="Arial" w:eastAsiaTheme="minorHAnsi" w:hAnsi="Arial" w:cs="Arial"/>
          <w:color w:val="000000" w:themeColor="text1"/>
          <w:lang w:val="es-ES" w:eastAsia="en-US"/>
        </w:rPr>
      </w:pPr>
      <w:r w:rsidRPr="00A358B1">
        <w:rPr>
          <w:rFonts w:ascii="Arial" w:eastAsiaTheme="minorHAnsi" w:hAnsi="Arial" w:cs="Arial"/>
          <w:color w:val="000000" w:themeColor="text1"/>
          <w:lang w:val="es-ES" w:eastAsia="en-US"/>
        </w:rPr>
        <w:t xml:space="preserve">La frecuencia de usuarios de drogas endovenosas entre los pacientes que consultaron a esta institución fue de cero. Esto podría explicarse porque usualmente esta población de pacientes no consulta a nuestra institución, sino a centros de rehabilitación o de manejo específico del VIH. Es fundamental precisar que podría existir un sesgo información, al preguntar al paciente por el antecedente de consumo de </w:t>
      </w:r>
      <w:proofErr w:type="spellStart"/>
      <w:r w:rsidRPr="00A358B1">
        <w:rPr>
          <w:rFonts w:ascii="Arial" w:eastAsiaTheme="minorHAnsi" w:hAnsi="Arial" w:cs="Arial"/>
          <w:color w:val="000000" w:themeColor="text1"/>
          <w:lang w:val="es-ES" w:eastAsia="en-US"/>
        </w:rPr>
        <w:t>psicotóxicos</w:t>
      </w:r>
      <w:proofErr w:type="spellEnd"/>
      <w:r w:rsidRPr="00A358B1">
        <w:rPr>
          <w:rFonts w:ascii="Arial" w:eastAsiaTheme="minorHAnsi" w:hAnsi="Arial" w:cs="Arial"/>
          <w:color w:val="000000" w:themeColor="text1"/>
          <w:lang w:val="es-ES" w:eastAsia="en-US"/>
        </w:rPr>
        <w:t xml:space="preserve"> de una forma general y no específicamente por drogas endovenosas. También es posible que muchos pacientes omitieran esta información a pesar de presentar el antecedente por temor a ser valorados de forma negativa. Lo anterior, nos motiva como institución a mejorar tanto la calidad del registro de los factores de riesgo en las historias clínicas, como a establecer una serie de preguntas específicas (momento y duración de la exposición, número de parejas sexuales, etc.) en aquellos pacientes identificados como poblaciones vulnerables. </w:t>
      </w:r>
    </w:p>
    <w:p w:rsidR="00A358B1" w:rsidRPr="00A358B1" w:rsidRDefault="00A358B1" w:rsidP="00A358B1">
      <w:pPr>
        <w:widowControl w:val="0"/>
        <w:autoSpaceDE w:val="0"/>
        <w:autoSpaceDN w:val="0"/>
        <w:adjustRightInd w:val="0"/>
        <w:spacing w:after="240" w:line="360" w:lineRule="auto"/>
        <w:rPr>
          <w:rFonts w:ascii="Arial" w:eastAsiaTheme="minorHAnsi" w:hAnsi="Arial" w:cs="Arial"/>
          <w:color w:val="000000"/>
          <w:lang w:val="es-ES" w:eastAsia="en-US"/>
        </w:rPr>
      </w:pPr>
      <w:r w:rsidRPr="00A358B1">
        <w:rPr>
          <w:rFonts w:ascii="Arial" w:eastAsiaTheme="minorHAnsi" w:hAnsi="Arial" w:cs="Arial"/>
          <w:color w:val="000000"/>
          <w:lang w:val="es-ES" w:eastAsia="en-US"/>
        </w:rPr>
        <w:t>En la población a estudio se encontró un 1,86% de pacientes coinfectados con HBV. Esta prevalencia podría explicarse por el hecho de que muchos pacientes coinfectados carecen de marcadores serológicos para la infección por HBV. Lo anterior, fue ilustrado en un estudio en el cual el 33% de 200 pacientes infectados con HCV tenían antígeno de superficie para hepatitis B (</w:t>
      </w:r>
      <w:proofErr w:type="spellStart"/>
      <w:r w:rsidRPr="00A358B1">
        <w:rPr>
          <w:rFonts w:ascii="Arial" w:eastAsiaTheme="minorHAnsi" w:hAnsi="Arial" w:cs="Arial"/>
          <w:color w:val="000000"/>
          <w:lang w:val="es-ES" w:eastAsia="en-US"/>
        </w:rPr>
        <w:t>HBsAg</w:t>
      </w:r>
      <w:proofErr w:type="spellEnd"/>
      <w:r w:rsidRPr="00A358B1">
        <w:rPr>
          <w:rFonts w:ascii="Arial" w:eastAsiaTheme="minorHAnsi" w:hAnsi="Arial" w:cs="Arial"/>
          <w:color w:val="000000"/>
          <w:lang w:val="es-ES" w:eastAsia="en-US"/>
        </w:rPr>
        <w:t xml:space="preserve">) negativo y carga viral detectable para hepatitis B. La razón por la cual algunos pacientes con VHC </w:t>
      </w:r>
      <w:r w:rsidRPr="00A358B1">
        <w:rPr>
          <w:rFonts w:ascii="Arial" w:eastAsiaTheme="minorHAnsi" w:hAnsi="Arial" w:cs="Arial"/>
          <w:color w:val="000000"/>
          <w:lang w:val="es-ES" w:eastAsia="en-US"/>
        </w:rPr>
        <w:lastRenderedPageBreak/>
        <w:t xml:space="preserve">que están infectados con HBV carecen de </w:t>
      </w:r>
      <w:proofErr w:type="spellStart"/>
      <w:r w:rsidRPr="00A358B1">
        <w:rPr>
          <w:rFonts w:ascii="Arial" w:eastAsiaTheme="minorHAnsi" w:hAnsi="Arial" w:cs="Arial"/>
          <w:color w:val="000000"/>
          <w:lang w:val="es-ES" w:eastAsia="en-US"/>
        </w:rPr>
        <w:t>HBsAg</w:t>
      </w:r>
      <w:proofErr w:type="spellEnd"/>
      <w:r w:rsidRPr="00A358B1">
        <w:rPr>
          <w:rFonts w:ascii="Arial" w:eastAsiaTheme="minorHAnsi" w:hAnsi="Arial" w:cs="Arial"/>
          <w:color w:val="000000"/>
          <w:lang w:val="es-ES" w:eastAsia="en-US"/>
        </w:rPr>
        <w:t xml:space="preserve"> es desconocida. Sin embargo, los datos encontrados en este estudio no discrepan mucho de lo referido en informes de prevalencia de la coinfección por otros autores </w:t>
      </w:r>
      <w:r w:rsidRPr="00A358B1">
        <w:rPr>
          <w:rFonts w:ascii="Arial" w:eastAsiaTheme="minorHAnsi" w:hAnsi="Arial" w:cs="Arial"/>
          <w:b/>
          <w:color w:val="000000"/>
          <w:lang w:val="es-ES" w:eastAsia="en-US"/>
        </w:rPr>
        <w:t>(22)</w:t>
      </w:r>
      <w:r w:rsidRPr="00A358B1">
        <w:rPr>
          <w:rFonts w:ascii="Arial" w:eastAsiaTheme="minorHAnsi" w:hAnsi="Arial" w:cs="Arial"/>
          <w:color w:val="000000"/>
          <w:lang w:val="es-ES" w:eastAsia="en-US"/>
        </w:rPr>
        <w:t xml:space="preserve">.  Se plantea que en este grupo de pacientes con infección por el VHC sería pertinente estudiar tanto la presencia del antígeno de superficie para HBV, como la carga viral. </w:t>
      </w:r>
    </w:p>
    <w:p w:rsidR="00A358B1" w:rsidRPr="00A358B1" w:rsidRDefault="00A358B1" w:rsidP="00A358B1">
      <w:pPr>
        <w:widowControl w:val="0"/>
        <w:autoSpaceDE w:val="0"/>
        <w:autoSpaceDN w:val="0"/>
        <w:adjustRightInd w:val="0"/>
        <w:spacing w:after="240" w:line="360" w:lineRule="auto"/>
        <w:rPr>
          <w:rStyle w:val="apple-style-span"/>
          <w:rFonts w:ascii="Arial" w:eastAsiaTheme="minorHAnsi" w:hAnsi="Arial" w:cs="Arial"/>
          <w:color w:val="FF0000"/>
        </w:rPr>
      </w:pPr>
      <w:r w:rsidRPr="00A358B1">
        <w:rPr>
          <w:rFonts w:ascii="Arial" w:eastAsiaTheme="minorHAnsi" w:hAnsi="Arial" w:cs="Arial"/>
          <w:color w:val="000000"/>
          <w:lang w:val="es-ES" w:eastAsia="en-US"/>
        </w:rPr>
        <w:t xml:space="preserve">Las prevalencias de cirrosis y hepatocarcinoma encontradas en la población a estudio </w:t>
      </w:r>
      <w:r w:rsidRPr="00A358B1">
        <w:rPr>
          <w:rFonts w:ascii="Arial" w:eastAsiaTheme="minorHAnsi" w:hAnsi="Arial" w:cs="Arial"/>
          <w:color w:val="000000" w:themeColor="text1"/>
          <w:lang w:val="es-ES" w:eastAsia="en-US"/>
        </w:rPr>
        <w:t xml:space="preserve">fueron muy similares a lo esperado según reportes de la literatura, con un 29,4% de cirrosis y un 3,3% de hepatocarcinoma. Globalmente se espera que aproximadamente del 20% al 30% de los pacientes con hepatitis C desarrollen cirrosis </w:t>
      </w:r>
      <w:r w:rsidRPr="00A358B1">
        <w:rPr>
          <w:rFonts w:ascii="Arial" w:eastAsiaTheme="minorHAnsi" w:hAnsi="Arial" w:cs="Arial"/>
          <w:b/>
          <w:color w:val="000000" w:themeColor="text1"/>
          <w:lang w:val="es-ES" w:eastAsia="en-US"/>
        </w:rPr>
        <w:t>(15)</w:t>
      </w:r>
      <w:r w:rsidRPr="00A358B1">
        <w:rPr>
          <w:rFonts w:ascii="Arial" w:eastAsiaTheme="minorHAnsi" w:hAnsi="Arial" w:cs="Arial"/>
          <w:color w:val="000000" w:themeColor="text1"/>
          <w:lang w:val="es-ES" w:eastAsia="en-US"/>
        </w:rPr>
        <w:t xml:space="preserve"> y del </w:t>
      </w:r>
      <w:r w:rsidRPr="00A358B1">
        <w:rPr>
          <w:rStyle w:val="apple-style-span"/>
          <w:rFonts w:ascii="Arial" w:hAnsi="Arial" w:cs="Arial"/>
          <w:color w:val="000000" w:themeColor="text1"/>
          <w:lang w:val="es-ES"/>
        </w:rPr>
        <w:t xml:space="preserve">0 al 3 por ciento por año carcinoma </w:t>
      </w:r>
      <w:proofErr w:type="spellStart"/>
      <w:r w:rsidRPr="00A358B1">
        <w:rPr>
          <w:rStyle w:val="apple-style-span"/>
          <w:rFonts w:ascii="Arial" w:hAnsi="Arial" w:cs="Arial"/>
          <w:color w:val="000000" w:themeColor="text1"/>
          <w:lang w:val="es-ES"/>
        </w:rPr>
        <w:t>hepatocelular</w:t>
      </w:r>
      <w:proofErr w:type="spellEnd"/>
      <w:r w:rsidRPr="00A358B1">
        <w:rPr>
          <w:rStyle w:val="apple-style-span"/>
          <w:rFonts w:ascii="Arial" w:hAnsi="Arial" w:cs="Arial"/>
          <w:color w:val="000000" w:themeColor="text1"/>
          <w:lang w:val="es-ES"/>
        </w:rPr>
        <w:t xml:space="preserve"> (</w:t>
      </w:r>
      <w:r w:rsidRPr="00A358B1">
        <w:rPr>
          <w:rStyle w:val="apple-style-span"/>
          <w:rFonts w:ascii="Arial" w:hAnsi="Arial" w:cs="Arial"/>
          <w:b/>
          <w:color w:val="000000" w:themeColor="text1"/>
          <w:lang w:val="es-ES"/>
        </w:rPr>
        <w:t>4,5</w:t>
      </w:r>
      <w:r w:rsidRPr="00A358B1">
        <w:rPr>
          <w:rStyle w:val="apple-style-span"/>
          <w:rFonts w:ascii="Arial" w:hAnsi="Arial" w:cs="Arial"/>
          <w:color w:val="000000" w:themeColor="text1"/>
          <w:lang w:val="es-ES"/>
        </w:rPr>
        <w:t xml:space="preserve">). En lo referente a la frecuencia de trasplantes, se observo una prevalencia del 35.7% de trasplantes hepáticos entre el grupo de los trasplantados. Lamentablemente, no fue posible establecer si todos los trasplantes fueron realizados por deterioro de la función hepática secundaria a la infección por el VHC, pues en las historias clínicas esta información fue consignada de manera inconsistente. </w:t>
      </w:r>
    </w:p>
    <w:p w:rsidR="00A358B1" w:rsidRPr="00A358B1" w:rsidRDefault="00A358B1" w:rsidP="00A358B1">
      <w:pPr>
        <w:widowControl w:val="0"/>
        <w:autoSpaceDE w:val="0"/>
        <w:autoSpaceDN w:val="0"/>
        <w:adjustRightInd w:val="0"/>
        <w:spacing w:after="240" w:line="360" w:lineRule="auto"/>
        <w:rPr>
          <w:rStyle w:val="apple-style-span"/>
          <w:rFonts w:ascii="Arial" w:hAnsi="Arial" w:cs="Arial"/>
          <w:lang w:val="es-ES"/>
        </w:rPr>
      </w:pPr>
      <w:r w:rsidRPr="00A358B1">
        <w:rPr>
          <w:rStyle w:val="apple-style-span"/>
          <w:rFonts w:ascii="Arial" w:hAnsi="Arial" w:cs="Arial"/>
          <w:lang w:val="es-ES"/>
        </w:rPr>
        <w:t xml:space="preserve">La principal limitación de este estudio fue la heterogeneidad en el registro de las historias clínicas consignadas por los diferentes especialistas (hepatólogos, infectólogos y gastroenterólogos). Así mismo, la carencia de una notificación detallada referente a los tatuajes, trasfusiones de sangre, salud sexual, uso de </w:t>
      </w:r>
      <w:proofErr w:type="spellStart"/>
      <w:r w:rsidRPr="00A358B1">
        <w:rPr>
          <w:rStyle w:val="apple-style-span"/>
          <w:rFonts w:ascii="Arial" w:hAnsi="Arial" w:cs="Arial"/>
          <w:lang w:val="es-ES"/>
        </w:rPr>
        <w:t>psicotóxicos</w:t>
      </w:r>
      <w:proofErr w:type="spellEnd"/>
      <w:r w:rsidRPr="00A358B1">
        <w:rPr>
          <w:rStyle w:val="apple-style-span"/>
          <w:rFonts w:ascii="Arial" w:hAnsi="Arial" w:cs="Arial"/>
          <w:lang w:val="es-ES"/>
        </w:rPr>
        <w:t xml:space="preserve"> y antecedentes quirúrgicos. Lo que  nos lleva a replantarnos la importancia del registro de esta información, ya que con esto, se podrían implantar medidas de intervención a nivel de salud pública, como la inclusión de preguntas más específicas sobre estos factores de riesgo en las fichas epidemiológicas </w:t>
      </w:r>
      <w:r w:rsidRPr="00A358B1">
        <w:rPr>
          <w:rStyle w:val="apple-style-span"/>
          <w:rFonts w:ascii="Arial" w:hAnsi="Arial" w:cs="Arial"/>
          <w:color w:val="000000" w:themeColor="text1"/>
          <w:lang w:val="es-ES"/>
        </w:rPr>
        <w:t>(código INS 340)</w:t>
      </w:r>
      <w:r w:rsidRPr="00A358B1">
        <w:rPr>
          <w:rStyle w:val="apple-style-span"/>
          <w:rFonts w:ascii="Arial" w:hAnsi="Arial" w:cs="Arial"/>
          <w:lang w:val="es-ES"/>
        </w:rPr>
        <w:t xml:space="preserve">. </w:t>
      </w:r>
    </w:p>
    <w:p w:rsidR="00A358B1" w:rsidRPr="00A358B1" w:rsidRDefault="00A358B1" w:rsidP="00A358B1">
      <w:pPr>
        <w:widowControl w:val="0"/>
        <w:autoSpaceDE w:val="0"/>
        <w:autoSpaceDN w:val="0"/>
        <w:adjustRightInd w:val="0"/>
        <w:spacing w:after="240" w:line="360" w:lineRule="auto"/>
        <w:rPr>
          <w:rStyle w:val="apple-style-span"/>
          <w:rFonts w:ascii="Arial" w:hAnsi="Arial" w:cs="Arial"/>
          <w:lang w:val="es-ES"/>
        </w:rPr>
      </w:pPr>
      <w:r w:rsidRPr="00A358B1">
        <w:rPr>
          <w:rStyle w:val="apple-style-span"/>
          <w:rFonts w:ascii="Arial" w:hAnsi="Arial" w:cs="Arial"/>
          <w:lang w:val="es-ES"/>
        </w:rPr>
        <w:t xml:space="preserve">De otra parte, la principal fortaleza del estudio reside en que se trata de un estudio con un análisis epidemiológico de las variables asociadas a la infección crónica con hepatitis C. Esta información es actual, y combina tanto información serológica, como las principales características clínicas de la población vallecaucana, la cual, según el último reporte del instituto nacional de salud se encuentra en el quinto lugar de incidencia de </w:t>
      </w:r>
      <w:proofErr w:type="spellStart"/>
      <w:r w:rsidRPr="00A358B1">
        <w:rPr>
          <w:rStyle w:val="apple-style-span"/>
          <w:rFonts w:ascii="Arial" w:hAnsi="Arial" w:cs="Arial"/>
          <w:lang w:val="es-ES"/>
        </w:rPr>
        <w:t>heptitis</w:t>
      </w:r>
      <w:proofErr w:type="spellEnd"/>
      <w:r w:rsidRPr="00A358B1">
        <w:rPr>
          <w:rStyle w:val="apple-style-span"/>
          <w:rFonts w:ascii="Arial" w:hAnsi="Arial" w:cs="Arial"/>
          <w:lang w:val="es-ES"/>
        </w:rPr>
        <w:t xml:space="preserve"> C en lo que va del 2018 </w:t>
      </w:r>
      <w:r w:rsidRPr="00A358B1">
        <w:rPr>
          <w:rStyle w:val="apple-style-span"/>
          <w:rFonts w:ascii="Arial" w:hAnsi="Arial" w:cs="Arial"/>
          <w:b/>
          <w:lang w:val="es-ES"/>
        </w:rPr>
        <w:t>(18)</w:t>
      </w:r>
      <w:r w:rsidRPr="00A358B1">
        <w:rPr>
          <w:rStyle w:val="apple-style-span"/>
          <w:rFonts w:ascii="Arial" w:hAnsi="Arial" w:cs="Arial"/>
          <w:lang w:val="es-ES"/>
        </w:rPr>
        <w:t xml:space="preserve"> </w:t>
      </w:r>
      <w:r w:rsidRPr="00A358B1">
        <w:rPr>
          <w:rStyle w:val="apple-style-span"/>
          <w:rFonts w:ascii="Arial" w:hAnsi="Arial" w:cs="Arial"/>
          <w:lang w:val="es-ES"/>
        </w:rPr>
        <w:lastRenderedPageBreak/>
        <w:t xml:space="preserve">y el primer lugar en muertes atribuibles al virus en el reporte del 2017 </w:t>
      </w:r>
      <w:r w:rsidRPr="00A358B1">
        <w:rPr>
          <w:rStyle w:val="apple-style-span"/>
          <w:rFonts w:ascii="Arial" w:hAnsi="Arial" w:cs="Arial"/>
          <w:b/>
          <w:lang w:val="es-ES"/>
        </w:rPr>
        <w:t xml:space="preserve">(14). </w:t>
      </w:r>
      <w:r w:rsidRPr="00A358B1">
        <w:rPr>
          <w:rStyle w:val="apple-style-span"/>
          <w:rFonts w:ascii="Arial" w:hAnsi="Arial" w:cs="Arial"/>
          <w:lang w:val="es-ES"/>
        </w:rPr>
        <w:t>Por lo anterior, esta información sirve como base para la elaboración de estudios enfocados en diagnostico y tratamiento antiviral de esta entidad.</w:t>
      </w:r>
    </w:p>
    <w:p w:rsidR="00A358B1" w:rsidRPr="00A358B1" w:rsidRDefault="00A358B1" w:rsidP="00A358B1">
      <w:pPr>
        <w:widowControl w:val="0"/>
        <w:autoSpaceDE w:val="0"/>
        <w:autoSpaceDN w:val="0"/>
        <w:adjustRightInd w:val="0"/>
        <w:spacing w:after="240" w:line="360" w:lineRule="auto"/>
        <w:rPr>
          <w:rStyle w:val="apple-style-span"/>
          <w:rFonts w:ascii="Arial" w:hAnsi="Arial" w:cs="Arial"/>
          <w:b/>
          <w:lang w:val="es-ES"/>
        </w:rPr>
      </w:pPr>
      <w:r w:rsidRPr="00A358B1">
        <w:rPr>
          <w:rStyle w:val="apple-style-span"/>
          <w:rFonts w:ascii="Arial" w:hAnsi="Arial" w:cs="Arial"/>
          <w:b/>
          <w:lang w:val="es-ES"/>
        </w:rPr>
        <w:t>Conclusión</w:t>
      </w:r>
    </w:p>
    <w:p w:rsidR="00A358B1" w:rsidRPr="00A358B1" w:rsidRDefault="00A358B1" w:rsidP="00A358B1">
      <w:pPr>
        <w:widowControl w:val="0"/>
        <w:autoSpaceDE w:val="0"/>
        <w:autoSpaceDN w:val="0"/>
        <w:adjustRightInd w:val="0"/>
        <w:spacing w:after="240" w:line="360" w:lineRule="auto"/>
        <w:rPr>
          <w:rFonts w:ascii="Arial" w:hAnsi="Arial" w:cs="Arial"/>
          <w:color w:val="000000" w:themeColor="text1"/>
        </w:rPr>
      </w:pPr>
      <w:r w:rsidRPr="00A358B1">
        <w:rPr>
          <w:rFonts w:ascii="Arial" w:hAnsi="Arial" w:cs="Arial"/>
          <w:lang w:val="es-ES"/>
        </w:rPr>
        <w:t xml:space="preserve">Según los resultados de este estudio se puede concluir que la población colombiana evaluada presenta un comportamiento de la infección por el VHC muy similar a lo encontrado en la literatura científica. Con predomino del genotipo viral 1B, lo que hace susceptible a nuestra población de manejo con los nuevos agentes antivirales directos, que son medicamentos con un mejor perfil de efectos adversos y una mayor tasa de curación. Este trabajo permite además identificar que a pesar de las políticas públicas para el </w:t>
      </w:r>
      <w:r w:rsidRPr="00A358B1">
        <w:rPr>
          <w:rFonts w:ascii="Arial" w:hAnsi="Arial" w:cs="Arial"/>
          <w:color w:val="000000" w:themeColor="text1"/>
          <w:lang w:val="es-ES"/>
        </w:rPr>
        <w:t xml:space="preserve">manejo de hemoderivados y practicas de bioseguridad en los procedimientos invasivos, esta ruta de infección continúa siendo el principal factor asociado al contagio, por lo que se debe continuar trabajando en la educación y prevención de la infección. Además, se propone una búsqueda activa de aquellos pacientes con historia de trasfusiones sanguíneas antes de 1993, ojalá a nivel nacional, como la estrategia implementada en Antioquia por Arroyave, et al </w:t>
      </w:r>
      <w:r w:rsidRPr="00A358B1">
        <w:rPr>
          <w:rFonts w:ascii="Arial" w:hAnsi="Arial" w:cs="Arial"/>
          <w:b/>
          <w:color w:val="000000" w:themeColor="text1"/>
          <w:lang w:val="es-ES"/>
        </w:rPr>
        <w:t>(25),</w:t>
      </w:r>
      <w:r w:rsidRPr="00A358B1">
        <w:rPr>
          <w:rFonts w:ascii="Arial" w:hAnsi="Arial" w:cs="Arial"/>
          <w:color w:val="000000" w:themeColor="text1"/>
          <w:lang w:val="es-ES"/>
        </w:rPr>
        <w:t xml:space="preserve"> en la que  </w:t>
      </w:r>
      <w:r w:rsidRPr="00A358B1">
        <w:rPr>
          <w:rFonts w:ascii="Arial" w:hAnsi="Arial" w:cs="Arial"/>
        </w:rPr>
        <w:t xml:space="preserve">se puso a prueba una estrategia de tamización para el HCV en pacientes que habían recibido transfusiones antes de 1994, registrandose una prevalencia de 6,6 % para anticuerpos frente al virus y de 4,2 % para la hepatitis C crónica, demostrandose que es una estrategia de tamizaje efectiva. Por lo anterior, que se propone realizar </w:t>
      </w:r>
      <w:r w:rsidRPr="00A358B1">
        <w:rPr>
          <w:rFonts w:ascii="Arial" w:hAnsi="Arial" w:cs="Arial"/>
          <w:color w:val="000000" w:themeColor="text1"/>
          <w:lang w:val="es-ES"/>
        </w:rPr>
        <w:t xml:space="preserve">este cribado por lo pronto de carácter institucional, y posteriormente departamental. </w:t>
      </w:r>
    </w:p>
    <w:p w:rsidR="00A358B1" w:rsidRPr="00A358B1" w:rsidRDefault="00A358B1" w:rsidP="00A358B1">
      <w:pPr>
        <w:widowControl w:val="0"/>
        <w:autoSpaceDE w:val="0"/>
        <w:autoSpaceDN w:val="0"/>
        <w:adjustRightInd w:val="0"/>
        <w:spacing w:after="240" w:line="360" w:lineRule="auto"/>
        <w:rPr>
          <w:rFonts w:ascii="Arial" w:hAnsi="Arial" w:cs="Arial"/>
          <w:lang w:val="es-ES"/>
        </w:rPr>
      </w:pPr>
      <w:r w:rsidRPr="00A358B1">
        <w:rPr>
          <w:rFonts w:ascii="Arial" w:hAnsi="Arial" w:cs="Arial"/>
          <w:b/>
          <w:lang w:val="es-ES"/>
        </w:rPr>
        <w:t>Agradecimientos</w:t>
      </w:r>
    </w:p>
    <w:p w:rsidR="00A358B1" w:rsidRPr="00A358B1" w:rsidRDefault="00A358B1" w:rsidP="00A358B1">
      <w:pPr>
        <w:spacing w:line="360" w:lineRule="auto"/>
        <w:rPr>
          <w:rFonts w:ascii="Arial" w:hAnsi="Arial" w:cs="Arial"/>
          <w:b/>
          <w:lang w:val="es-ES"/>
        </w:rPr>
      </w:pPr>
    </w:p>
    <w:p w:rsidR="00A358B1" w:rsidRPr="00A358B1" w:rsidRDefault="00A358B1" w:rsidP="00A358B1">
      <w:pPr>
        <w:spacing w:line="360" w:lineRule="auto"/>
        <w:rPr>
          <w:rFonts w:ascii="Arial" w:hAnsi="Arial" w:cs="Arial"/>
          <w:lang w:val="es-ES"/>
        </w:rPr>
      </w:pPr>
      <w:r w:rsidRPr="00A358B1">
        <w:rPr>
          <w:rFonts w:ascii="Arial" w:hAnsi="Arial" w:cs="Arial"/>
          <w:lang w:val="es-ES"/>
        </w:rPr>
        <w:t xml:space="preserve">Los autores agradecen especialmente a la Fundación Valle de Lili y a su Centro de Investigaciones Clínicas, por su apoyo y colaboración en el desarrollo de este trabajo. </w:t>
      </w:r>
    </w:p>
    <w:p w:rsidR="00A358B1" w:rsidRPr="00A358B1" w:rsidRDefault="00A358B1" w:rsidP="00A358B1">
      <w:pPr>
        <w:spacing w:line="360" w:lineRule="auto"/>
        <w:rPr>
          <w:rFonts w:ascii="Arial" w:hAnsi="Arial" w:cs="Arial"/>
          <w:lang w:val="es-ES"/>
        </w:rPr>
      </w:pPr>
    </w:p>
    <w:p w:rsidR="00A358B1" w:rsidRPr="00A358B1" w:rsidRDefault="00A358B1" w:rsidP="00A358B1">
      <w:pPr>
        <w:spacing w:line="360" w:lineRule="auto"/>
        <w:rPr>
          <w:rFonts w:ascii="Arial" w:hAnsi="Arial" w:cs="Arial"/>
          <w:b/>
          <w:lang w:val="es-ES"/>
        </w:rPr>
      </w:pPr>
      <w:r w:rsidRPr="00A358B1">
        <w:rPr>
          <w:rFonts w:ascii="Arial" w:hAnsi="Arial" w:cs="Arial"/>
          <w:b/>
          <w:lang w:val="es-ES"/>
        </w:rPr>
        <w:t>Conflicto de intereses</w:t>
      </w:r>
    </w:p>
    <w:p w:rsidR="00A358B1" w:rsidRPr="00A358B1" w:rsidRDefault="00A358B1" w:rsidP="00A358B1">
      <w:pPr>
        <w:spacing w:line="360" w:lineRule="auto"/>
        <w:rPr>
          <w:rFonts w:ascii="Arial" w:hAnsi="Arial" w:cs="Arial"/>
          <w:lang w:val="es-ES"/>
        </w:rPr>
      </w:pPr>
    </w:p>
    <w:p w:rsidR="00A358B1" w:rsidRPr="00A358B1" w:rsidRDefault="00A358B1" w:rsidP="00A358B1">
      <w:pPr>
        <w:spacing w:line="360" w:lineRule="auto"/>
        <w:rPr>
          <w:rFonts w:ascii="Arial" w:hAnsi="Arial" w:cs="Arial"/>
          <w:lang w:val="es-ES"/>
        </w:rPr>
      </w:pPr>
      <w:r w:rsidRPr="00A358B1">
        <w:rPr>
          <w:rFonts w:ascii="Arial" w:hAnsi="Arial" w:cs="Arial"/>
          <w:lang w:val="es-ES"/>
        </w:rPr>
        <w:t>Todos los autores declaran que no tienen conflictos de intereses.</w:t>
      </w:r>
    </w:p>
    <w:p w:rsidR="00A358B1" w:rsidRPr="00A358B1" w:rsidRDefault="00A358B1" w:rsidP="00A358B1">
      <w:pPr>
        <w:spacing w:line="360" w:lineRule="auto"/>
        <w:rPr>
          <w:rFonts w:ascii="Arial" w:hAnsi="Arial" w:cs="Arial"/>
          <w:lang w:val="es-ES"/>
        </w:rPr>
      </w:pPr>
    </w:p>
    <w:p w:rsidR="00A358B1" w:rsidRPr="00A358B1" w:rsidRDefault="00A358B1" w:rsidP="00A358B1">
      <w:pPr>
        <w:spacing w:line="360" w:lineRule="auto"/>
        <w:rPr>
          <w:rFonts w:ascii="Arial" w:hAnsi="Arial" w:cs="Arial"/>
          <w:b/>
          <w:lang w:val="es-ES"/>
        </w:rPr>
      </w:pPr>
      <w:r w:rsidRPr="00A358B1">
        <w:rPr>
          <w:rFonts w:ascii="Arial" w:hAnsi="Arial" w:cs="Arial"/>
          <w:b/>
          <w:lang w:val="es-ES"/>
        </w:rPr>
        <w:t>Financiación</w:t>
      </w:r>
    </w:p>
    <w:p w:rsidR="00A358B1" w:rsidRPr="00A358B1" w:rsidRDefault="00A358B1" w:rsidP="00A358B1">
      <w:pPr>
        <w:spacing w:line="360" w:lineRule="auto"/>
        <w:rPr>
          <w:rFonts w:ascii="Arial" w:hAnsi="Arial" w:cs="Arial"/>
          <w:b/>
          <w:lang w:val="es-ES"/>
        </w:rPr>
      </w:pPr>
    </w:p>
    <w:p w:rsidR="00A358B1" w:rsidRPr="00A358B1" w:rsidRDefault="00A358B1" w:rsidP="00A358B1">
      <w:pPr>
        <w:spacing w:line="360" w:lineRule="auto"/>
        <w:rPr>
          <w:rFonts w:ascii="Arial" w:hAnsi="Arial" w:cs="Arial"/>
          <w:lang w:val="es-ES"/>
        </w:rPr>
      </w:pPr>
      <w:r w:rsidRPr="00A358B1">
        <w:rPr>
          <w:rFonts w:ascii="Arial" w:hAnsi="Arial" w:cs="Arial"/>
          <w:lang w:val="es-ES"/>
        </w:rPr>
        <w:t xml:space="preserve">No se recibió ninguna financiación específica para el estudio. </w:t>
      </w:r>
    </w:p>
    <w:p w:rsidR="00A358B1" w:rsidRPr="00A358B1" w:rsidRDefault="00A358B1" w:rsidP="00A358B1">
      <w:pPr>
        <w:spacing w:line="360" w:lineRule="auto"/>
        <w:rPr>
          <w:rFonts w:ascii="Arial" w:hAnsi="Arial" w:cs="Arial"/>
          <w:lang w:val="es-ES"/>
        </w:rPr>
        <w:sectPr w:rsidR="00A358B1" w:rsidRPr="00A358B1">
          <w:type w:val="continuous"/>
          <w:pgSz w:w="12240" w:h="15840"/>
          <w:pgMar w:top="1417" w:right="1701" w:bottom="1417" w:left="1701" w:header="708" w:footer="708" w:gutter="0"/>
          <w:cols w:space="720"/>
        </w:sectPr>
      </w:pPr>
    </w:p>
    <w:p w:rsidR="00A358B1" w:rsidRPr="00A358B1" w:rsidRDefault="00A358B1" w:rsidP="00A358B1">
      <w:pPr>
        <w:spacing w:line="360" w:lineRule="auto"/>
        <w:rPr>
          <w:rFonts w:ascii="Arial" w:hAnsi="Arial" w:cs="Arial"/>
          <w:lang w:val="es-ES"/>
        </w:rPr>
      </w:pPr>
    </w:p>
    <w:p w:rsidR="00A358B1" w:rsidRPr="00A358B1" w:rsidRDefault="00A358B1" w:rsidP="00A358B1">
      <w:pPr>
        <w:spacing w:line="360" w:lineRule="auto"/>
        <w:rPr>
          <w:rFonts w:ascii="Arial" w:hAnsi="Arial" w:cs="Arial"/>
          <w:b/>
          <w:lang w:val="es-ES"/>
        </w:rPr>
      </w:pPr>
      <w:r w:rsidRPr="00A358B1">
        <w:rPr>
          <w:rFonts w:ascii="Arial" w:hAnsi="Arial" w:cs="Arial"/>
          <w:b/>
          <w:lang w:val="es-ES"/>
        </w:rPr>
        <w:t>Referencias</w:t>
      </w:r>
    </w:p>
    <w:p w:rsidR="00A358B1" w:rsidRPr="00A358B1" w:rsidRDefault="00A358B1" w:rsidP="00A358B1">
      <w:pPr>
        <w:spacing w:line="360" w:lineRule="auto"/>
        <w:rPr>
          <w:rFonts w:ascii="Arial" w:hAnsi="Arial" w:cs="Arial"/>
          <w:lang w:val="es-ES"/>
        </w:rPr>
      </w:pPr>
    </w:p>
    <w:p w:rsidR="00A358B1" w:rsidRPr="00A358B1" w:rsidRDefault="00A358B1" w:rsidP="00A358B1">
      <w:pPr>
        <w:pStyle w:val="Prrafodelista"/>
        <w:widowControl w:val="0"/>
        <w:numPr>
          <w:ilvl w:val="0"/>
          <w:numId w:val="2"/>
        </w:numPr>
        <w:autoSpaceDE w:val="0"/>
        <w:autoSpaceDN w:val="0"/>
        <w:adjustRightInd w:val="0"/>
        <w:spacing w:line="360" w:lineRule="auto"/>
        <w:rPr>
          <w:rFonts w:ascii="Arial" w:hAnsi="Arial" w:cs="Arial"/>
          <w:color w:val="000000" w:themeColor="text1"/>
          <w:lang w:val="es-ES"/>
        </w:rPr>
      </w:pPr>
      <w:r w:rsidRPr="00A358B1">
        <w:rPr>
          <w:rFonts w:ascii="Arial" w:hAnsi="Arial" w:cs="Arial"/>
          <w:color w:val="000000" w:themeColor="text1"/>
          <w:lang w:val="es-ES"/>
        </w:rPr>
        <w:t xml:space="preserve">Aguilera </w:t>
      </w:r>
      <w:proofErr w:type="spellStart"/>
      <w:r w:rsidRPr="00A358B1">
        <w:rPr>
          <w:rFonts w:ascii="Arial" w:hAnsi="Arial" w:cs="Arial"/>
          <w:color w:val="000000" w:themeColor="text1"/>
          <w:lang w:val="es-ES"/>
        </w:rPr>
        <w:t>Guirao</w:t>
      </w:r>
      <w:proofErr w:type="spellEnd"/>
      <w:r w:rsidRPr="00A358B1">
        <w:rPr>
          <w:rFonts w:ascii="Arial" w:hAnsi="Arial" w:cs="Arial"/>
          <w:color w:val="000000" w:themeColor="text1"/>
          <w:lang w:val="es-ES"/>
        </w:rPr>
        <w:t xml:space="preserve"> A, Alonso </w:t>
      </w:r>
      <w:proofErr w:type="spellStart"/>
      <w:r w:rsidRPr="00A358B1">
        <w:rPr>
          <w:rFonts w:ascii="Arial" w:hAnsi="Arial" w:cs="Arial"/>
          <w:color w:val="000000" w:themeColor="text1"/>
          <w:lang w:val="es-ES"/>
        </w:rPr>
        <w:t>Fernández</w:t>
      </w:r>
      <w:proofErr w:type="spellEnd"/>
      <w:r w:rsidRPr="00A358B1">
        <w:rPr>
          <w:rFonts w:ascii="Arial" w:hAnsi="Arial" w:cs="Arial"/>
          <w:color w:val="000000" w:themeColor="text1"/>
          <w:lang w:val="es-ES"/>
        </w:rPr>
        <w:t xml:space="preserve"> R, </w:t>
      </w:r>
      <w:proofErr w:type="spellStart"/>
      <w:r w:rsidRPr="00A358B1">
        <w:rPr>
          <w:rFonts w:ascii="Arial" w:hAnsi="Arial" w:cs="Arial"/>
          <w:color w:val="000000" w:themeColor="text1"/>
          <w:lang w:val="es-ES"/>
        </w:rPr>
        <w:t>Córdoba</w:t>
      </w:r>
      <w:proofErr w:type="spellEnd"/>
      <w:r w:rsidRPr="00A358B1">
        <w:rPr>
          <w:rFonts w:ascii="Arial" w:hAnsi="Arial" w:cs="Arial"/>
          <w:color w:val="000000" w:themeColor="text1"/>
          <w:lang w:val="es-ES"/>
        </w:rPr>
        <w:t xml:space="preserve"> Cortijo J, Fuertes Ortiz de Urbina A. </w:t>
      </w:r>
      <w:proofErr w:type="spellStart"/>
      <w:r w:rsidRPr="00A358B1">
        <w:rPr>
          <w:rFonts w:ascii="Arial" w:hAnsi="Arial" w:cs="Arial"/>
          <w:color w:val="000000" w:themeColor="text1"/>
          <w:lang w:val="es-ES"/>
        </w:rPr>
        <w:t>Diagnóstico</w:t>
      </w:r>
      <w:proofErr w:type="spellEnd"/>
      <w:r w:rsidRPr="00A358B1">
        <w:rPr>
          <w:rFonts w:ascii="Arial" w:hAnsi="Arial" w:cs="Arial"/>
          <w:color w:val="000000" w:themeColor="text1"/>
          <w:lang w:val="es-ES"/>
        </w:rPr>
        <w:t xml:space="preserve"> microbiológico de las hepatitis víricas. 50. Alonso Fernández R (coordinador). Procedimientos en Microbiología Clínica. Cercenado Mansilla E, Cantón Moreno R (editores). Sociedad Española de Enfermedades Infecciosas y Microbiología Clínica (SEIMC). 2014. </w:t>
      </w:r>
    </w:p>
    <w:p w:rsidR="00A358B1" w:rsidRPr="00A358B1" w:rsidRDefault="00A358B1" w:rsidP="00A358B1">
      <w:pPr>
        <w:spacing w:line="360" w:lineRule="auto"/>
        <w:rPr>
          <w:rFonts w:ascii="Arial" w:hAnsi="Arial" w:cs="Arial"/>
          <w:color w:val="000000" w:themeColor="text1"/>
          <w:lang w:val="es-ES"/>
        </w:rPr>
      </w:pPr>
    </w:p>
    <w:p w:rsidR="00A358B1" w:rsidRPr="00A358B1" w:rsidRDefault="00A358B1" w:rsidP="00A358B1">
      <w:pPr>
        <w:pStyle w:val="Prrafodelista"/>
        <w:widowControl w:val="0"/>
        <w:numPr>
          <w:ilvl w:val="0"/>
          <w:numId w:val="2"/>
        </w:numPr>
        <w:autoSpaceDE w:val="0"/>
        <w:autoSpaceDN w:val="0"/>
        <w:adjustRightInd w:val="0"/>
        <w:spacing w:line="360" w:lineRule="auto"/>
        <w:rPr>
          <w:rFonts w:ascii="Arial" w:hAnsi="Arial" w:cs="Arial"/>
          <w:color w:val="000000" w:themeColor="text1"/>
          <w:lang w:val="en-US"/>
        </w:rPr>
      </w:pPr>
      <w:r w:rsidRPr="00A358B1">
        <w:rPr>
          <w:rFonts w:ascii="Arial" w:hAnsi="Arial" w:cs="Arial"/>
          <w:color w:val="000000" w:themeColor="text1"/>
          <w:lang w:val="en-US"/>
        </w:rPr>
        <w:t xml:space="preserve">Sanjiv Chopra, MD, MACP, Adrian M Di </w:t>
      </w:r>
      <w:proofErr w:type="spellStart"/>
      <w:r w:rsidRPr="00A358B1">
        <w:rPr>
          <w:rFonts w:ascii="Arial" w:hAnsi="Arial" w:cs="Arial"/>
          <w:color w:val="000000" w:themeColor="text1"/>
          <w:lang w:val="en-US"/>
        </w:rPr>
        <w:t>Bisceglie</w:t>
      </w:r>
      <w:proofErr w:type="spellEnd"/>
      <w:r w:rsidRPr="00A358B1">
        <w:rPr>
          <w:rFonts w:ascii="Arial" w:hAnsi="Arial" w:cs="Arial"/>
          <w:color w:val="000000" w:themeColor="text1"/>
          <w:lang w:val="en-US"/>
        </w:rPr>
        <w:t xml:space="preserve">, MD, Allyson Bloom, MD. </w:t>
      </w:r>
      <w:r w:rsidRPr="00A358B1">
        <w:rPr>
          <w:rFonts w:ascii="Arial" w:hAnsi="Arial" w:cs="Arial"/>
          <w:bCs/>
          <w:color w:val="000000" w:themeColor="text1"/>
          <w:shd w:val="clear" w:color="auto" w:fill="FFFFFF"/>
          <w:lang w:val="en-US"/>
        </w:rPr>
        <w:t xml:space="preserve">Clinical manifestations and natural history of chronic hepatitis C virus infection. </w:t>
      </w:r>
      <w:r w:rsidRPr="00A358B1">
        <w:rPr>
          <w:rFonts w:ascii="Arial" w:hAnsi="Arial" w:cs="Arial"/>
          <w:color w:val="000000" w:themeColor="text1"/>
          <w:shd w:val="clear" w:color="auto" w:fill="FFFFFF"/>
          <w:lang w:val="en-US"/>
        </w:rPr>
        <w:t>www.uptodate.com</w:t>
      </w:r>
      <w:r w:rsidRPr="00A358B1">
        <w:rPr>
          <w:rStyle w:val="apple-converted-space"/>
          <w:rFonts w:ascii="Arial" w:hAnsi="Arial" w:cs="Arial"/>
          <w:color w:val="000000" w:themeColor="text1"/>
          <w:shd w:val="clear" w:color="auto" w:fill="FFFFFF"/>
          <w:lang w:val="en-US"/>
        </w:rPr>
        <w:t xml:space="preserve">. </w:t>
      </w:r>
      <w:r w:rsidRPr="00A358B1">
        <w:rPr>
          <w:rFonts w:ascii="Arial" w:hAnsi="Arial" w:cs="Arial"/>
          <w:color w:val="000000" w:themeColor="text1"/>
          <w:shd w:val="clear" w:color="auto" w:fill="FFFFFF"/>
          <w:lang w:val="en-US"/>
        </w:rPr>
        <w:t>Aug 06, 2015</w:t>
      </w:r>
    </w:p>
    <w:p w:rsidR="00A358B1" w:rsidRPr="00A358B1" w:rsidRDefault="00A358B1" w:rsidP="00A358B1">
      <w:pPr>
        <w:spacing w:line="360" w:lineRule="auto"/>
        <w:rPr>
          <w:rFonts w:ascii="Arial" w:hAnsi="Arial" w:cs="Arial"/>
          <w:lang w:val="en-US"/>
        </w:rPr>
      </w:pPr>
    </w:p>
    <w:p w:rsidR="00A358B1" w:rsidRPr="00A358B1" w:rsidRDefault="00A358B1" w:rsidP="00A358B1">
      <w:pPr>
        <w:pStyle w:val="Prrafodelista"/>
        <w:widowControl w:val="0"/>
        <w:numPr>
          <w:ilvl w:val="0"/>
          <w:numId w:val="2"/>
        </w:numPr>
        <w:autoSpaceDE w:val="0"/>
        <w:autoSpaceDN w:val="0"/>
        <w:adjustRightInd w:val="0"/>
        <w:spacing w:line="360" w:lineRule="auto"/>
        <w:rPr>
          <w:rFonts w:ascii="Arial" w:hAnsi="Arial" w:cs="Arial"/>
          <w:lang w:val="es-ES"/>
        </w:rPr>
      </w:pPr>
      <w:r w:rsidRPr="00A358B1">
        <w:rPr>
          <w:rFonts w:ascii="Arial" w:hAnsi="Arial" w:cs="Arial"/>
          <w:lang w:val="en-US"/>
        </w:rPr>
        <w:t xml:space="preserve">Thein HH, Yi Q, Dore GJ, </w:t>
      </w:r>
      <w:proofErr w:type="spellStart"/>
      <w:r w:rsidRPr="00A358B1">
        <w:rPr>
          <w:rFonts w:ascii="Arial" w:hAnsi="Arial" w:cs="Arial"/>
          <w:lang w:val="en-US"/>
        </w:rPr>
        <w:t>Krahn</w:t>
      </w:r>
      <w:proofErr w:type="spellEnd"/>
      <w:r w:rsidRPr="00A358B1">
        <w:rPr>
          <w:rFonts w:ascii="Arial" w:hAnsi="Arial" w:cs="Arial"/>
          <w:lang w:val="en-US"/>
        </w:rPr>
        <w:t xml:space="preserve"> MD. Estimation of stage-specific fibrosis progression rates in chronic hepatitis C virus infection: a meta-analysis and meta-regression. </w:t>
      </w:r>
      <w:proofErr w:type="spellStart"/>
      <w:r w:rsidRPr="00A358B1">
        <w:rPr>
          <w:rFonts w:ascii="Arial" w:hAnsi="Arial" w:cs="Arial"/>
          <w:lang w:val="es-ES"/>
        </w:rPr>
        <w:t>Hepatology</w:t>
      </w:r>
      <w:proofErr w:type="spellEnd"/>
      <w:r w:rsidRPr="00A358B1">
        <w:rPr>
          <w:rFonts w:ascii="Arial" w:hAnsi="Arial" w:cs="Arial"/>
          <w:lang w:val="es-ES"/>
        </w:rPr>
        <w:t xml:space="preserve"> 2008; 48:418.</w:t>
      </w:r>
    </w:p>
    <w:p w:rsidR="00A358B1" w:rsidRPr="00A358B1" w:rsidRDefault="00A358B1" w:rsidP="00A358B1">
      <w:pPr>
        <w:widowControl w:val="0"/>
        <w:autoSpaceDE w:val="0"/>
        <w:autoSpaceDN w:val="0"/>
        <w:adjustRightInd w:val="0"/>
        <w:spacing w:line="360" w:lineRule="auto"/>
        <w:rPr>
          <w:rFonts w:ascii="Arial" w:hAnsi="Arial" w:cs="Arial"/>
          <w:lang w:val="es-ES"/>
        </w:rPr>
      </w:pPr>
    </w:p>
    <w:p w:rsidR="00A358B1" w:rsidRPr="00A358B1" w:rsidRDefault="00A358B1" w:rsidP="00A358B1">
      <w:pPr>
        <w:pStyle w:val="Prrafodelista"/>
        <w:widowControl w:val="0"/>
        <w:numPr>
          <w:ilvl w:val="0"/>
          <w:numId w:val="2"/>
        </w:numPr>
        <w:autoSpaceDE w:val="0"/>
        <w:autoSpaceDN w:val="0"/>
        <w:adjustRightInd w:val="0"/>
        <w:spacing w:line="360" w:lineRule="auto"/>
        <w:rPr>
          <w:rFonts w:ascii="Arial" w:hAnsi="Arial" w:cs="Arial"/>
          <w:lang w:val="es-ES"/>
        </w:rPr>
      </w:pPr>
      <w:r w:rsidRPr="00A358B1">
        <w:rPr>
          <w:rFonts w:ascii="Arial" w:hAnsi="Arial" w:cs="Arial"/>
          <w:color w:val="000000"/>
          <w:lang w:val="en-US"/>
        </w:rPr>
        <w:t xml:space="preserve">Hu KQ, Tong MJ. The long-term outcomes of patients with compensated hepatitis C virus-related cirrhosis and history of parenteral exposure in the United States. </w:t>
      </w:r>
      <w:proofErr w:type="spellStart"/>
      <w:r w:rsidRPr="00A358B1">
        <w:rPr>
          <w:rFonts w:ascii="Arial" w:hAnsi="Arial" w:cs="Arial"/>
          <w:color w:val="000000"/>
          <w:lang w:val="es-ES"/>
        </w:rPr>
        <w:t>Hepatology</w:t>
      </w:r>
      <w:proofErr w:type="spellEnd"/>
      <w:r w:rsidRPr="00A358B1">
        <w:rPr>
          <w:rFonts w:ascii="Arial" w:hAnsi="Arial" w:cs="Arial"/>
          <w:color w:val="000000"/>
          <w:lang w:val="es-ES"/>
        </w:rPr>
        <w:t xml:space="preserve"> 1999; 29:1311.</w:t>
      </w:r>
    </w:p>
    <w:p w:rsidR="00A358B1" w:rsidRPr="00A358B1" w:rsidRDefault="00A358B1" w:rsidP="00A358B1">
      <w:pPr>
        <w:widowControl w:val="0"/>
        <w:autoSpaceDE w:val="0"/>
        <w:autoSpaceDN w:val="0"/>
        <w:adjustRightInd w:val="0"/>
        <w:spacing w:line="360" w:lineRule="auto"/>
        <w:rPr>
          <w:rFonts w:ascii="Arial" w:hAnsi="Arial" w:cs="Arial"/>
          <w:color w:val="000000"/>
          <w:lang w:val="es-ES"/>
        </w:rPr>
      </w:pPr>
    </w:p>
    <w:p w:rsidR="00A358B1" w:rsidRPr="00A358B1" w:rsidRDefault="00A358B1" w:rsidP="00A358B1">
      <w:pPr>
        <w:pStyle w:val="Prrafodelista"/>
        <w:widowControl w:val="0"/>
        <w:numPr>
          <w:ilvl w:val="0"/>
          <w:numId w:val="2"/>
        </w:numPr>
        <w:autoSpaceDE w:val="0"/>
        <w:autoSpaceDN w:val="0"/>
        <w:adjustRightInd w:val="0"/>
        <w:spacing w:line="360" w:lineRule="auto"/>
        <w:rPr>
          <w:rFonts w:ascii="Arial" w:hAnsi="Arial" w:cs="Arial"/>
          <w:lang w:val="es-ES"/>
        </w:rPr>
      </w:pPr>
      <w:proofErr w:type="spellStart"/>
      <w:r w:rsidRPr="00A358B1">
        <w:rPr>
          <w:rFonts w:ascii="Arial" w:hAnsi="Arial" w:cs="Arial"/>
          <w:color w:val="000000"/>
          <w:lang w:val="en-US"/>
        </w:rPr>
        <w:t>Fattovich</w:t>
      </w:r>
      <w:proofErr w:type="spellEnd"/>
      <w:r w:rsidRPr="00A358B1">
        <w:rPr>
          <w:rFonts w:ascii="Arial" w:hAnsi="Arial" w:cs="Arial"/>
          <w:color w:val="000000"/>
          <w:lang w:val="en-US"/>
        </w:rPr>
        <w:t xml:space="preserve"> G, </w:t>
      </w:r>
      <w:proofErr w:type="spellStart"/>
      <w:r w:rsidRPr="00A358B1">
        <w:rPr>
          <w:rFonts w:ascii="Arial" w:hAnsi="Arial" w:cs="Arial"/>
          <w:color w:val="000000"/>
          <w:lang w:val="en-US"/>
        </w:rPr>
        <w:t>Giustina</w:t>
      </w:r>
      <w:proofErr w:type="spellEnd"/>
      <w:r w:rsidRPr="00A358B1">
        <w:rPr>
          <w:rFonts w:ascii="Arial" w:hAnsi="Arial" w:cs="Arial"/>
          <w:color w:val="000000"/>
          <w:lang w:val="en-US"/>
        </w:rPr>
        <w:t xml:space="preserve"> G, </w:t>
      </w:r>
      <w:proofErr w:type="spellStart"/>
      <w:r w:rsidRPr="00A358B1">
        <w:rPr>
          <w:rFonts w:ascii="Arial" w:hAnsi="Arial" w:cs="Arial"/>
          <w:color w:val="000000"/>
          <w:lang w:val="en-US"/>
        </w:rPr>
        <w:t>Degos</w:t>
      </w:r>
      <w:proofErr w:type="spellEnd"/>
      <w:r w:rsidRPr="00A358B1">
        <w:rPr>
          <w:rFonts w:ascii="Arial" w:hAnsi="Arial" w:cs="Arial"/>
          <w:color w:val="000000"/>
          <w:lang w:val="en-US"/>
        </w:rPr>
        <w:t xml:space="preserve"> F, et al. Morbidity and mortality in compensated cirrhosis type C: a retrospective follow-up study of 384 patients. </w:t>
      </w:r>
      <w:proofErr w:type="spellStart"/>
      <w:r w:rsidRPr="00A358B1">
        <w:rPr>
          <w:rFonts w:ascii="Arial" w:hAnsi="Arial" w:cs="Arial"/>
          <w:color w:val="000000"/>
          <w:lang w:val="es-ES"/>
        </w:rPr>
        <w:t>Gastroenterology</w:t>
      </w:r>
      <w:proofErr w:type="spellEnd"/>
      <w:r w:rsidRPr="00A358B1">
        <w:rPr>
          <w:rFonts w:ascii="Arial" w:hAnsi="Arial" w:cs="Arial"/>
          <w:color w:val="000000"/>
          <w:lang w:val="es-ES"/>
        </w:rPr>
        <w:t xml:space="preserve"> 1997; 112:463.</w:t>
      </w:r>
    </w:p>
    <w:p w:rsidR="00A358B1" w:rsidRPr="00A358B1" w:rsidRDefault="00A358B1" w:rsidP="00A358B1">
      <w:pPr>
        <w:widowControl w:val="0"/>
        <w:autoSpaceDE w:val="0"/>
        <w:autoSpaceDN w:val="0"/>
        <w:adjustRightInd w:val="0"/>
        <w:spacing w:line="360" w:lineRule="auto"/>
        <w:rPr>
          <w:rFonts w:ascii="Arial" w:eastAsiaTheme="minorHAnsi" w:hAnsi="Arial" w:cs="Arial"/>
          <w:color w:val="000000"/>
          <w:lang w:val="es-ES" w:eastAsia="en-US"/>
        </w:rPr>
      </w:pPr>
    </w:p>
    <w:p w:rsidR="00A358B1" w:rsidRPr="00A358B1" w:rsidRDefault="00A358B1" w:rsidP="00A358B1">
      <w:pPr>
        <w:pStyle w:val="Prrafodelista"/>
        <w:widowControl w:val="0"/>
        <w:numPr>
          <w:ilvl w:val="0"/>
          <w:numId w:val="2"/>
        </w:numPr>
        <w:autoSpaceDE w:val="0"/>
        <w:autoSpaceDN w:val="0"/>
        <w:adjustRightInd w:val="0"/>
        <w:spacing w:line="360" w:lineRule="auto"/>
        <w:rPr>
          <w:rFonts w:ascii="Arial" w:hAnsi="Arial" w:cs="Arial"/>
          <w:lang w:val="es-ES"/>
        </w:rPr>
      </w:pPr>
      <w:r w:rsidRPr="00A358B1">
        <w:rPr>
          <w:rFonts w:ascii="Arial" w:eastAsiaTheme="minorHAnsi" w:hAnsi="Arial" w:cs="Arial"/>
          <w:color w:val="000000"/>
          <w:lang w:val="en-US" w:eastAsia="en-US"/>
        </w:rPr>
        <w:lastRenderedPageBreak/>
        <w:t xml:space="preserve">Chi-Jen Chu and </w:t>
      </w:r>
      <w:proofErr w:type="spellStart"/>
      <w:r w:rsidRPr="00A358B1">
        <w:rPr>
          <w:rFonts w:ascii="Arial" w:eastAsiaTheme="minorHAnsi" w:hAnsi="Arial" w:cs="Arial"/>
          <w:color w:val="000000"/>
          <w:lang w:val="en-US" w:eastAsia="en-US"/>
        </w:rPr>
        <w:t>Shou</w:t>
      </w:r>
      <w:proofErr w:type="spellEnd"/>
      <w:r w:rsidRPr="00A358B1">
        <w:rPr>
          <w:rFonts w:ascii="Arial" w:eastAsiaTheme="minorHAnsi" w:hAnsi="Arial" w:cs="Arial"/>
          <w:color w:val="000000"/>
          <w:lang w:val="en-US" w:eastAsia="en-US"/>
        </w:rPr>
        <w:t xml:space="preserve">-Dong Lee. </w:t>
      </w:r>
      <w:r w:rsidRPr="00A358B1">
        <w:rPr>
          <w:rFonts w:ascii="Arial" w:eastAsiaTheme="minorHAnsi" w:hAnsi="Arial" w:cs="Arial"/>
          <w:bCs/>
          <w:color w:val="000000"/>
          <w:lang w:val="en-US" w:eastAsia="en-US"/>
        </w:rPr>
        <w:t xml:space="preserve">Hepatitis B virus/hepatitis C virus coinfection: Epidemiology, clinical features, viral interactions and treatment. </w:t>
      </w:r>
      <w:proofErr w:type="spellStart"/>
      <w:r w:rsidRPr="00A358B1">
        <w:rPr>
          <w:rFonts w:ascii="Arial" w:eastAsiaTheme="minorHAnsi" w:hAnsi="Arial" w:cs="Arial"/>
          <w:color w:val="000000"/>
          <w:lang w:val="es-ES" w:eastAsia="en-US"/>
        </w:rPr>
        <w:t>Journal</w:t>
      </w:r>
      <w:proofErr w:type="spellEnd"/>
      <w:r w:rsidRPr="00A358B1">
        <w:rPr>
          <w:rFonts w:ascii="Arial" w:eastAsiaTheme="minorHAnsi" w:hAnsi="Arial" w:cs="Arial"/>
          <w:color w:val="000000"/>
          <w:lang w:val="es-ES" w:eastAsia="en-US"/>
        </w:rPr>
        <w:t xml:space="preserve"> of </w:t>
      </w:r>
      <w:proofErr w:type="spellStart"/>
      <w:r w:rsidRPr="00A358B1">
        <w:rPr>
          <w:rFonts w:ascii="Arial" w:eastAsiaTheme="minorHAnsi" w:hAnsi="Arial" w:cs="Arial"/>
          <w:color w:val="000000"/>
          <w:lang w:val="es-ES" w:eastAsia="en-US"/>
        </w:rPr>
        <w:t>Gastroenterology</w:t>
      </w:r>
      <w:proofErr w:type="spellEnd"/>
      <w:r w:rsidRPr="00A358B1">
        <w:rPr>
          <w:rFonts w:ascii="Arial" w:eastAsiaTheme="minorHAnsi" w:hAnsi="Arial" w:cs="Arial"/>
          <w:color w:val="000000"/>
          <w:lang w:val="es-ES" w:eastAsia="en-US"/>
        </w:rPr>
        <w:t xml:space="preserve"> and </w:t>
      </w:r>
      <w:proofErr w:type="spellStart"/>
      <w:r w:rsidRPr="00A358B1">
        <w:rPr>
          <w:rFonts w:ascii="Arial" w:eastAsiaTheme="minorHAnsi" w:hAnsi="Arial" w:cs="Arial"/>
          <w:color w:val="000000"/>
          <w:lang w:val="es-ES" w:eastAsia="en-US"/>
        </w:rPr>
        <w:t>Hepatology</w:t>
      </w:r>
      <w:proofErr w:type="spellEnd"/>
      <w:r w:rsidRPr="00A358B1">
        <w:rPr>
          <w:rFonts w:ascii="Arial" w:eastAsiaTheme="minorHAnsi" w:hAnsi="Arial" w:cs="Arial"/>
          <w:color w:val="000000"/>
          <w:lang w:val="es-ES" w:eastAsia="en-US"/>
        </w:rPr>
        <w:t xml:space="preserve"> </w:t>
      </w:r>
      <w:r w:rsidRPr="00A358B1">
        <w:rPr>
          <w:rFonts w:ascii="Arial" w:eastAsiaTheme="minorHAnsi" w:hAnsi="Arial" w:cs="Arial"/>
          <w:bCs/>
          <w:color w:val="000000"/>
          <w:lang w:val="es-ES" w:eastAsia="en-US"/>
        </w:rPr>
        <w:t xml:space="preserve">23 </w:t>
      </w:r>
      <w:r w:rsidRPr="00A358B1">
        <w:rPr>
          <w:rFonts w:ascii="Arial" w:eastAsiaTheme="minorHAnsi" w:hAnsi="Arial" w:cs="Arial"/>
          <w:color w:val="000000"/>
          <w:lang w:val="es-ES" w:eastAsia="en-US"/>
        </w:rPr>
        <w:t xml:space="preserve">(2008) 512–520. </w:t>
      </w:r>
    </w:p>
    <w:p w:rsidR="00A358B1" w:rsidRPr="00A358B1" w:rsidRDefault="00A358B1" w:rsidP="00A358B1">
      <w:pPr>
        <w:widowControl w:val="0"/>
        <w:autoSpaceDE w:val="0"/>
        <w:autoSpaceDN w:val="0"/>
        <w:adjustRightInd w:val="0"/>
        <w:spacing w:line="360" w:lineRule="auto"/>
        <w:rPr>
          <w:rFonts w:ascii="Arial" w:hAnsi="Arial" w:cs="Arial"/>
          <w:lang w:val="es-ES"/>
        </w:rPr>
      </w:pPr>
    </w:p>
    <w:p w:rsidR="00A358B1" w:rsidRPr="00A358B1" w:rsidRDefault="00A358B1" w:rsidP="00A358B1">
      <w:pPr>
        <w:pStyle w:val="Prrafodelista"/>
        <w:widowControl w:val="0"/>
        <w:numPr>
          <w:ilvl w:val="0"/>
          <w:numId w:val="2"/>
        </w:numPr>
        <w:autoSpaceDE w:val="0"/>
        <w:autoSpaceDN w:val="0"/>
        <w:adjustRightInd w:val="0"/>
        <w:spacing w:after="240" w:line="360" w:lineRule="auto"/>
        <w:rPr>
          <w:rFonts w:ascii="Arial" w:eastAsiaTheme="minorHAnsi" w:hAnsi="Arial" w:cs="Arial"/>
          <w:color w:val="000000"/>
          <w:lang w:val="es-ES" w:eastAsia="en-US"/>
        </w:rPr>
      </w:pPr>
      <w:r w:rsidRPr="00A358B1">
        <w:rPr>
          <w:rFonts w:ascii="Arial" w:eastAsiaTheme="minorHAnsi" w:hAnsi="Arial" w:cs="Arial"/>
          <w:color w:val="000000"/>
          <w:lang w:val="en-US" w:eastAsia="en-US"/>
        </w:rPr>
        <w:t xml:space="preserve">Maier I, Wu GY. Hepatitis C and HIV co-infection: a review. </w:t>
      </w:r>
      <w:proofErr w:type="spellStart"/>
      <w:r w:rsidRPr="00A358B1">
        <w:rPr>
          <w:rFonts w:ascii="Arial" w:eastAsiaTheme="minorHAnsi" w:hAnsi="Arial" w:cs="Arial"/>
          <w:color w:val="000000"/>
          <w:lang w:val="es-ES" w:eastAsia="en-US"/>
        </w:rPr>
        <w:t>World</w:t>
      </w:r>
      <w:proofErr w:type="spellEnd"/>
      <w:r w:rsidRPr="00A358B1">
        <w:rPr>
          <w:rFonts w:ascii="Arial" w:eastAsiaTheme="minorHAnsi" w:hAnsi="Arial" w:cs="Arial"/>
          <w:color w:val="000000"/>
          <w:lang w:val="es-ES" w:eastAsia="en-US"/>
        </w:rPr>
        <w:t xml:space="preserve"> J </w:t>
      </w:r>
      <w:proofErr w:type="spellStart"/>
      <w:r w:rsidRPr="00A358B1">
        <w:rPr>
          <w:rFonts w:ascii="Arial" w:eastAsiaTheme="minorHAnsi" w:hAnsi="Arial" w:cs="Arial"/>
          <w:color w:val="000000"/>
          <w:lang w:val="es-ES" w:eastAsia="en-US"/>
        </w:rPr>
        <w:t>Gastroenterol</w:t>
      </w:r>
      <w:proofErr w:type="spellEnd"/>
      <w:r w:rsidRPr="00A358B1">
        <w:rPr>
          <w:rFonts w:ascii="Arial" w:eastAsiaTheme="minorHAnsi" w:hAnsi="Arial" w:cs="Arial"/>
          <w:color w:val="000000"/>
          <w:lang w:val="es-ES" w:eastAsia="en-US"/>
        </w:rPr>
        <w:t xml:space="preserve"> 2002; 8(4):577-579. </w:t>
      </w:r>
    </w:p>
    <w:p w:rsidR="00A358B1" w:rsidRPr="00A358B1" w:rsidRDefault="00A358B1" w:rsidP="00A358B1">
      <w:pPr>
        <w:pStyle w:val="Prrafodelista"/>
        <w:widowControl w:val="0"/>
        <w:autoSpaceDE w:val="0"/>
        <w:autoSpaceDN w:val="0"/>
        <w:adjustRightInd w:val="0"/>
        <w:spacing w:line="360" w:lineRule="auto"/>
        <w:ind w:left="360"/>
        <w:rPr>
          <w:rFonts w:ascii="Arial" w:hAnsi="Arial" w:cs="Arial"/>
          <w:lang w:val="es-ES"/>
        </w:rPr>
      </w:pPr>
    </w:p>
    <w:p w:rsidR="00A358B1" w:rsidRPr="00A358B1" w:rsidRDefault="00A358B1" w:rsidP="00A358B1">
      <w:pPr>
        <w:pStyle w:val="Prrafodelista"/>
        <w:widowControl w:val="0"/>
        <w:numPr>
          <w:ilvl w:val="0"/>
          <w:numId w:val="2"/>
        </w:numPr>
        <w:autoSpaceDE w:val="0"/>
        <w:autoSpaceDN w:val="0"/>
        <w:adjustRightInd w:val="0"/>
        <w:spacing w:line="360" w:lineRule="auto"/>
        <w:rPr>
          <w:rFonts w:ascii="Arial" w:hAnsi="Arial" w:cs="Arial"/>
          <w:lang w:val="es-ES"/>
        </w:rPr>
      </w:pPr>
      <w:proofErr w:type="spellStart"/>
      <w:r w:rsidRPr="00A358B1">
        <w:rPr>
          <w:rFonts w:ascii="Arial" w:hAnsi="Arial" w:cs="Arial"/>
          <w:lang w:val="en-US"/>
        </w:rPr>
        <w:t>Mohd</w:t>
      </w:r>
      <w:proofErr w:type="spellEnd"/>
      <w:r w:rsidRPr="00A358B1">
        <w:rPr>
          <w:rFonts w:ascii="Arial" w:hAnsi="Arial" w:cs="Arial"/>
          <w:lang w:val="en-US"/>
        </w:rPr>
        <w:t xml:space="preserve"> </w:t>
      </w:r>
      <w:proofErr w:type="spellStart"/>
      <w:r w:rsidRPr="00A358B1">
        <w:rPr>
          <w:rFonts w:ascii="Arial" w:hAnsi="Arial" w:cs="Arial"/>
          <w:lang w:val="en-US"/>
        </w:rPr>
        <w:t>Hanafiah</w:t>
      </w:r>
      <w:proofErr w:type="spellEnd"/>
      <w:r w:rsidRPr="00A358B1">
        <w:rPr>
          <w:rFonts w:ascii="Arial" w:hAnsi="Arial" w:cs="Arial"/>
          <w:lang w:val="en-US"/>
        </w:rPr>
        <w:t xml:space="preserve"> K, </w:t>
      </w:r>
      <w:proofErr w:type="spellStart"/>
      <w:r w:rsidRPr="00A358B1">
        <w:rPr>
          <w:rFonts w:ascii="Arial" w:hAnsi="Arial" w:cs="Arial"/>
          <w:lang w:val="en-US"/>
        </w:rPr>
        <w:t>Groeger</w:t>
      </w:r>
      <w:proofErr w:type="spellEnd"/>
      <w:r w:rsidRPr="00A358B1">
        <w:rPr>
          <w:rFonts w:ascii="Arial" w:hAnsi="Arial" w:cs="Arial"/>
          <w:lang w:val="en-US"/>
        </w:rPr>
        <w:t xml:space="preserve"> J, Flaxman AD, Wiersma ST. Global epidemiology of hepatitis C virus infection: new estimates of age-specific antibody to HCV seroprevalence. </w:t>
      </w:r>
      <w:proofErr w:type="spellStart"/>
      <w:r w:rsidRPr="00A358B1">
        <w:rPr>
          <w:rFonts w:ascii="Arial" w:hAnsi="Arial" w:cs="Arial"/>
          <w:lang w:val="es-ES"/>
        </w:rPr>
        <w:t>Hepatology</w:t>
      </w:r>
      <w:proofErr w:type="spellEnd"/>
      <w:r w:rsidRPr="00A358B1">
        <w:rPr>
          <w:rFonts w:ascii="Arial" w:hAnsi="Arial" w:cs="Arial"/>
          <w:lang w:val="es-ES"/>
        </w:rPr>
        <w:t xml:space="preserve"> 2013; 57:1333.gr</w:t>
      </w:r>
    </w:p>
    <w:p w:rsidR="00A358B1" w:rsidRPr="00A358B1" w:rsidRDefault="00A358B1" w:rsidP="00A358B1">
      <w:pPr>
        <w:pStyle w:val="Prrafodelista"/>
        <w:widowControl w:val="0"/>
        <w:numPr>
          <w:ilvl w:val="0"/>
          <w:numId w:val="2"/>
        </w:numPr>
        <w:autoSpaceDE w:val="0"/>
        <w:autoSpaceDN w:val="0"/>
        <w:adjustRightInd w:val="0"/>
        <w:spacing w:line="360" w:lineRule="auto"/>
        <w:rPr>
          <w:rFonts w:ascii="Arial" w:hAnsi="Arial" w:cs="Arial"/>
          <w:lang w:val="en-US"/>
        </w:rPr>
      </w:pPr>
      <w:proofErr w:type="spellStart"/>
      <w:r w:rsidRPr="00A358B1">
        <w:rPr>
          <w:rFonts w:ascii="Arial" w:hAnsi="Arial" w:cs="Arial"/>
          <w:lang w:val="en-US"/>
        </w:rPr>
        <w:t>Wasley</w:t>
      </w:r>
      <w:proofErr w:type="spellEnd"/>
      <w:r w:rsidRPr="00A358B1">
        <w:rPr>
          <w:rFonts w:ascii="Arial" w:hAnsi="Arial" w:cs="Arial"/>
          <w:lang w:val="en-US"/>
        </w:rPr>
        <w:t xml:space="preserve"> A, </w:t>
      </w:r>
      <w:proofErr w:type="spellStart"/>
      <w:r w:rsidRPr="00A358B1">
        <w:rPr>
          <w:rFonts w:ascii="Arial" w:hAnsi="Arial" w:cs="Arial"/>
          <w:lang w:val="en-US"/>
        </w:rPr>
        <w:t>Grytdal</w:t>
      </w:r>
      <w:proofErr w:type="spellEnd"/>
      <w:r w:rsidRPr="00A358B1">
        <w:rPr>
          <w:rFonts w:ascii="Arial" w:hAnsi="Arial" w:cs="Arial"/>
          <w:lang w:val="en-US"/>
        </w:rPr>
        <w:t xml:space="preserve"> S, Gallagher K, Centers for Disease Control and Prevention (CDC). Surveillance for acute viral hepatitis--United States, 2006. MMWR </w:t>
      </w:r>
      <w:proofErr w:type="spellStart"/>
      <w:r w:rsidRPr="00A358B1">
        <w:rPr>
          <w:rFonts w:ascii="Arial" w:hAnsi="Arial" w:cs="Arial"/>
          <w:lang w:val="en-US"/>
        </w:rPr>
        <w:t>Surveill</w:t>
      </w:r>
      <w:proofErr w:type="spellEnd"/>
      <w:r w:rsidRPr="00A358B1">
        <w:rPr>
          <w:rFonts w:ascii="Arial" w:hAnsi="Arial" w:cs="Arial"/>
          <w:lang w:val="en-US"/>
        </w:rPr>
        <w:t xml:space="preserve"> </w:t>
      </w:r>
      <w:proofErr w:type="spellStart"/>
      <w:r w:rsidRPr="00A358B1">
        <w:rPr>
          <w:rFonts w:ascii="Arial" w:hAnsi="Arial" w:cs="Arial"/>
          <w:lang w:val="en-US"/>
        </w:rPr>
        <w:t>Summ</w:t>
      </w:r>
      <w:proofErr w:type="spellEnd"/>
      <w:r w:rsidRPr="00A358B1">
        <w:rPr>
          <w:rFonts w:ascii="Arial" w:hAnsi="Arial" w:cs="Arial"/>
          <w:lang w:val="en-US"/>
        </w:rPr>
        <w:t xml:space="preserve"> 2008; 57:1.</w:t>
      </w:r>
    </w:p>
    <w:p w:rsidR="00A358B1" w:rsidRPr="00A358B1" w:rsidRDefault="00A358B1" w:rsidP="00A358B1">
      <w:pPr>
        <w:widowControl w:val="0"/>
        <w:autoSpaceDE w:val="0"/>
        <w:autoSpaceDN w:val="0"/>
        <w:adjustRightInd w:val="0"/>
        <w:spacing w:line="360" w:lineRule="auto"/>
        <w:rPr>
          <w:rFonts w:ascii="Arial" w:hAnsi="Arial" w:cs="Arial"/>
          <w:lang w:val="en-US"/>
        </w:rPr>
      </w:pPr>
    </w:p>
    <w:p w:rsidR="00A358B1" w:rsidRPr="00A358B1" w:rsidRDefault="00A358B1" w:rsidP="00A358B1">
      <w:pPr>
        <w:pStyle w:val="Prrafodelista"/>
        <w:widowControl w:val="0"/>
        <w:numPr>
          <w:ilvl w:val="0"/>
          <w:numId w:val="2"/>
        </w:numPr>
        <w:autoSpaceDE w:val="0"/>
        <w:autoSpaceDN w:val="0"/>
        <w:adjustRightInd w:val="0"/>
        <w:spacing w:line="360" w:lineRule="auto"/>
        <w:rPr>
          <w:rFonts w:ascii="Arial" w:hAnsi="Arial" w:cs="Arial"/>
          <w:lang w:val="en-US"/>
        </w:rPr>
      </w:pPr>
      <w:r w:rsidRPr="00A358B1">
        <w:rPr>
          <w:rFonts w:ascii="Arial" w:hAnsi="Arial" w:cs="Arial"/>
          <w:lang w:val="en-US"/>
        </w:rPr>
        <w:t>http://www.cdc.gov/hepatitis/Statistics/2010Surveillance/index.htm. Sept-16.</w:t>
      </w:r>
    </w:p>
    <w:p w:rsidR="00A358B1" w:rsidRPr="00A358B1" w:rsidRDefault="00A358B1" w:rsidP="00A358B1">
      <w:pPr>
        <w:widowControl w:val="0"/>
        <w:autoSpaceDE w:val="0"/>
        <w:autoSpaceDN w:val="0"/>
        <w:adjustRightInd w:val="0"/>
        <w:spacing w:line="360" w:lineRule="auto"/>
        <w:rPr>
          <w:rFonts w:ascii="Arial" w:hAnsi="Arial" w:cs="Arial"/>
          <w:lang w:val="en-US"/>
        </w:rPr>
      </w:pPr>
    </w:p>
    <w:p w:rsidR="00A358B1" w:rsidRPr="00A358B1" w:rsidRDefault="00A358B1" w:rsidP="00A358B1">
      <w:pPr>
        <w:pStyle w:val="Prrafodelista"/>
        <w:widowControl w:val="0"/>
        <w:numPr>
          <w:ilvl w:val="0"/>
          <w:numId w:val="2"/>
        </w:numPr>
        <w:autoSpaceDE w:val="0"/>
        <w:autoSpaceDN w:val="0"/>
        <w:adjustRightInd w:val="0"/>
        <w:spacing w:line="360" w:lineRule="auto"/>
        <w:rPr>
          <w:rFonts w:ascii="Arial" w:hAnsi="Arial" w:cs="Arial"/>
          <w:lang w:val="es-ES"/>
        </w:rPr>
      </w:pPr>
      <w:r w:rsidRPr="00A358B1">
        <w:rPr>
          <w:rFonts w:ascii="Arial" w:hAnsi="Arial" w:cs="Arial"/>
          <w:lang w:val="es-ES"/>
        </w:rPr>
        <w:t xml:space="preserve">Oscar </w:t>
      </w:r>
      <w:proofErr w:type="spellStart"/>
      <w:r w:rsidRPr="00A358B1">
        <w:rPr>
          <w:rFonts w:ascii="Arial" w:hAnsi="Arial" w:cs="Arial"/>
          <w:lang w:val="es-ES"/>
        </w:rPr>
        <w:t>Enrrique</w:t>
      </w:r>
      <w:proofErr w:type="spellEnd"/>
      <w:r w:rsidRPr="00A358B1">
        <w:rPr>
          <w:rFonts w:ascii="Arial" w:hAnsi="Arial" w:cs="Arial"/>
          <w:lang w:val="es-ES"/>
        </w:rPr>
        <w:t xml:space="preserve"> </w:t>
      </w:r>
      <w:proofErr w:type="spellStart"/>
      <w:r w:rsidRPr="00A358B1">
        <w:rPr>
          <w:rFonts w:ascii="Arial" w:hAnsi="Arial" w:cs="Arial"/>
          <w:lang w:val="es-ES"/>
        </w:rPr>
        <w:t>Paez</w:t>
      </w:r>
      <w:proofErr w:type="spellEnd"/>
      <w:r w:rsidRPr="00A358B1">
        <w:rPr>
          <w:rFonts w:ascii="Arial" w:hAnsi="Arial" w:cs="Arial"/>
          <w:lang w:val="es-ES"/>
        </w:rPr>
        <w:t xml:space="preserve"> </w:t>
      </w:r>
      <w:proofErr w:type="spellStart"/>
      <w:r w:rsidRPr="00A358B1">
        <w:rPr>
          <w:rFonts w:ascii="Arial" w:hAnsi="Arial" w:cs="Arial"/>
          <w:lang w:val="es-ES"/>
        </w:rPr>
        <w:t>Rodriguez</w:t>
      </w:r>
      <w:proofErr w:type="spellEnd"/>
      <w:r w:rsidRPr="00A358B1">
        <w:rPr>
          <w:rFonts w:ascii="Arial" w:hAnsi="Arial" w:cs="Arial"/>
          <w:lang w:val="es-ES"/>
        </w:rPr>
        <w:t xml:space="preserve"> MD, </w:t>
      </w:r>
      <w:proofErr w:type="spellStart"/>
      <w:r w:rsidRPr="00A358B1">
        <w:rPr>
          <w:rFonts w:ascii="Arial" w:hAnsi="Arial" w:cs="Arial"/>
          <w:lang w:val="es-ES"/>
        </w:rPr>
        <w:t>Fernanado</w:t>
      </w:r>
      <w:proofErr w:type="spellEnd"/>
      <w:r w:rsidRPr="00A358B1">
        <w:rPr>
          <w:rFonts w:ascii="Arial" w:hAnsi="Arial" w:cs="Arial"/>
          <w:lang w:val="es-ES"/>
        </w:rPr>
        <w:t xml:space="preserve"> </w:t>
      </w:r>
      <w:proofErr w:type="spellStart"/>
      <w:r w:rsidRPr="00A358B1">
        <w:rPr>
          <w:rFonts w:ascii="Arial" w:hAnsi="Arial" w:cs="Arial"/>
          <w:lang w:val="es-ES"/>
        </w:rPr>
        <w:t>Peñloza</w:t>
      </w:r>
      <w:proofErr w:type="spellEnd"/>
      <w:r w:rsidRPr="00A358B1">
        <w:rPr>
          <w:rFonts w:ascii="Arial" w:hAnsi="Arial" w:cs="Arial"/>
          <w:lang w:val="es-ES"/>
        </w:rPr>
        <w:t xml:space="preserve"> MD. Epidemiología </w:t>
      </w:r>
      <w:proofErr w:type="spellStart"/>
      <w:r w:rsidRPr="00A358B1">
        <w:rPr>
          <w:rFonts w:ascii="Arial" w:hAnsi="Arial" w:cs="Arial"/>
          <w:lang w:val="es-ES"/>
        </w:rPr>
        <w:t>Heptitis</w:t>
      </w:r>
      <w:proofErr w:type="spellEnd"/>
      <w:r w:rsidRPr="00A358B1">
        <w:rPr>
          <w:rFonts w:ascii="Arial" w:hAnsi="Arial" w:cs="Arial"/>
          <w:lang w:val="es-ES"/>
        </w:rPr>
        <w:t xml:space="preserve"> C en Colombia. </w:t>
      </w:r>
      <w:proofErr w:type="spellStart"/>
      <w:r w:rsidRPr="00A358B1">
        <w:rPr>
          <w:rFonts w:ascii="Arial" w:hAnsi="Arial" w:cs="Arial"/>
          <w:lang w:val="es-ES"/>
        </w:rPr>
        <w:t>Rev</w:t>
      </w:r>
      <w:proofErr w:type="spellEnd"/>
      <w:r w:rsidRPr="00A358B1">
        <w:rPr>
          <w:rFonts w:ascii="Arial" w:hAnsi="Arial" w:cs="Arial"/>
          <w:lang w:val="es-ES"/>
        </w:rPr>
        <w:t xml:space="preserve"> Col </w:t>
      </w:r>
      <w:proofErr w:type="spellStart"/>
      <w:r w:rsidRPr="00A358B1">
        <w:rPr>
          <w:rFonts w:ascii="Arial" w:hAnsi="Arial" w:cs="Arial"/>
          <w:lang w:val="es-ES"/>
        </w:rPr>
        <w:t>Gastroenterol</w:t>
      </w:r>
      <w:proofErr w:type="spellEnd"/>
      <w:r w:rsidRPr="00A358B1">
        <w:rPr>
          <w:rFonts w:ascii="Arial" w:hAnsi="Arial" w:cs="Arial"/>
          <w:lang w:val="es-ES"/>
        </w:rPr>
        <w:t xml:space="preserve"> / 27 (4) </w:t>
      </w:r>
      <w:proofErr w:type="spellStart"/>
      <w:r w:rsidRPr="00A358B1">
        <w:rPr>
          <w:rFonts w:ascii="Arial" w:hAnsi="Arial" w:cs="Arial"/>
          <w:lang w:val="es-ES"/>
        </w:rPr>
        <w:t>Supl</w:t>
      </w:r>
      <w:proofErr w:type="spellEnd"/>
      <w:r w:rsidRPr="00A358B1">
        <w:rPr>
          <w:rFonts w:ascii="Arial" w:hAnsi="Arial" w:cs="Arial"/>
          <w:lang w:val="es-ES"/>
        </w:rPr>
        <w:t xml:space="preserve"> 2012 </w:t>
      </w:r>
    </w:p>
    <w:p w:rsidR="00A358B1" w:rsidRPr="00A358B1" w:rsidRDefault="00A358B1" w:rsidP="00A358B1">
      <w:pPr>
        <w:widowControl w:val="0"/>
        <w:autoSpaceDE w:val="0"/>
        <w:autoSpaceDN w:val="0"/>
        <w:adjustRightInd w:val="0"/>
        <w:spacing w:line="360" w:lineRule="auto"/>
        <w:rPr>
          <w:rFonts w:ascii="Arial" w:hAnsi="Arial" w:cs="Arial"/>
          <w:lang w:val="es-ES"/>
        </w:rPr>
      </w:pPr>
    </w:p>
    <w:p w:rsidR="00A358B1" w:rsidRPr="00A358B1" w:rsidRDefault="00A358B1" w:rsidP="00A358B1">
      <w:pPr>
        <w:pStyle w:val="Prrafodelista"/>
        <w:widowControl w:val="0"/>
        <w:numPr>
          <w:ilvl w:val="0"/>
          <w:numId w:val="2"/>
        </w:numPr>
        <w:autoSpaceDE w:val="0"/>
        <w:autoSpaceDN w:val="0"/>
        <w:adjustRightInd w:val="0"/>
        <w:spacing w:line="360" w:lineRule="auto"/>
        <w:rPr>
          <w:rFonts w:ascii="Arial" w:hAnsi="Arial" w:cs="Arial"/>
          <w:color w:val="000000" w:themeColor="text1"/>
          <w:lang w:val="es-ES"/>
        </w:rPr>
      </w:pPr>
      <w:proofErr w:type="spellStart"/>
      <w:r w:rsidRPr="00A358B1">
        <w:rPr>
          <w:rFonts w:ascii="Arial" w:eastAsiaTheme="minorHAnsi" w:hAnsi="Arial" w:cs="Arial"/>
          <w:color w:val="000000" w:themeColor="text1"/>
          <w:lang w:val="en-US" w:eastAsia="en-US"/>
        </w:rPr>
        <w:t>Suryaprasad</w:t>
      </w:r>
      <w:proofErr w:type="spellEnd"/>
      <w:r w:rsidRPr="00A358B1">
        <w:rPr>
          <w:rFonts w:ascii="Arial" w:eastAsiaTheme="minorHAnsi" w:hAnsi="Arial" w:cs="Arial"/>
          <w:color w:val="000000" w:themeColor="text1"/>
          <w:lang w:val="en-US" w:eastAsia="en-US"/>
        </w:rPr>
        <w:t xml:space="preserve"> AG, White JZ, Xu F, et al. Emerging epidemic of hepatitis C virus infections among Young nonurban persons who inject drugs in the United States, 2006-2012. </w:t>
      </w:r>
      <w:proofErr w:type="spellStart"/>
      <w:r w:rsidRPr="00A358B1">
        <w:rPr>
          <w:rFonts w:ascii="Arial" w:eastAsiaTheme="minorHAnsi" w:hAnsi="Arial" w:cs="Arial"/>
          <w:color w:val="000000" w:themeColor="text1"/>
          <w:lang w:val="es-ES" w:eastAsia="en-US"/>
        </w:rPr>
        <w:t>Clin</w:t>
      </w:r>
      <w:proofErr w:type="spellEnd"/>
      <w:r w:rsidRPr="00A358B1">
        <w:rPr>
          <w:rFonts w:ascii="Arial" w:eastAsiaTheme="minorHAnsi" w:hAnsi="Arial" w:cs="Arial"/>
          <w:color w:val="000000" w:themeColor="text1"/>
          <w:lang w:val="es-ES" w:eastAsia="en-US"/>
        </w:rPr>
        <w:t xml:space="preserve"> </w:t>
      </w:r>
      <w:proofErr w:type="spellStart"/>
      <w:r w:rsidRPr="00A358B1">
        <w:rPr>
          <w:rFonts w:ascii="Arial" w:eastAsiaTheme="minorHAnsi" w:hAnsi="Arial" w:cs="Arial"/>
          <w:color w:val="000000" w:themeColor="text1"/>
          <w:lang w:val="es-ES" w:eastAsia="en-US"/>
        </w:rPr>
        <w:t>Infect</w:t>
      </w:r>
      <w:proofErr w:type="spellEnd"/>
      <w:r w:rsidRPr="00A358B1">
        <w:rPr>
          <w:rFonts w:ascii="Arial" w:eastAsiaTheme="minorHAnsi" w:hAnsi="Arial" w:cs="Arial"/>
          <w:color w:val="000000" w:themeColor="text1"/>
          <w:lang w:val="es-ES" w:eastAsia="en-US"/>
        </w:rPr>
        <w:t xml:space="preserve"> </w:t>
      </w:r>
      <w:proofErr w:type="spellStart"/>
      <w:r w:rsidRPr="00A358B1">
        <w:rPr>
          <w:rFonts w:ascii="Arial" w:eastAsiaTheme="minorHAnsi" w:hAnsi="Arial" w:cs="Arial"/>
          <w:color w:val="000000" w:themeColor="text1"/>
          <w:lang w:val="es-ES" w:eastAsia="en-US"/>
        </w:rPr>
        <w:t>Dis</w:t>
      </w:r>
      <w:proofErr w:type="spellEnd"/>
      <w:r w:rsidRPr="00A358B1">
        <w:rPr>
          <w:rFonts w:ascii="Arial" w:eastAsiaTheme="minorHAnsi" w:hAnsi="Arial" w:cs="Arial"/>
          <w:color w:val="000000" w:themeColor="text1"/>
          <w:lang w:val="es-ES" w:eastAsia="en-US"/>
        </w:rPr>
        <w:t xml:space="preserve"> 2014; 59:1411.</w:t>
      </w:r>
    </w:p>
    <w:p w:rsidR="00A358B1" w:rsidRPr="00A358B1" w:rsidRDefault="00A358B1" w:rsidP="00A358B1">
      <w:pPr>
        <w:widowControl w:val="0"/>
        <w:autoSpaceDE w:val="0"/>
        <w:autoSpaceDN w:val="0"/>
        <w:adjustRightInd w:val="0"/>
        <w:spacing w:line="360" w:lineRule="auto"/>
        <w:rPr>
          <w:rFonts w:ascii="Arial" w:hAnsi="Arial" w:cs="Arial"/>
          <w:color w:val="000000" w:themeColor="text1"/>
          <w:lang w:val="es-ES"/>
        </w:rPr>
      </w:pPr>
    </w:p>
    <w:p w:rsidR="00A358B1" w:rsidRPr="00A358B1" w:rsidRDefault="00A358B1" w:rsidP="00A358B1">
      <w:pPr>
        <w:pStyle w:val="Prrafodelista"/>
        <w:widowControl w:val="0"/>
        <w:autoSpaceDE w:val="0"/>
        <w:autoSpaceDN w:val="0"/>
        <w:adjustRightInd w:val="0"/>
        <w:spacing w:line="360" w:lineRule="auto"/>
        <w:ind w:left="360"/>
        <w:rPr>
          <w:rFonts w:ascii="Arial" w:hAnsi="Arial" w:cs="Arial"/>
          <w:color w:val="000000" w:themeColor="text1"/>
          <w:lang w:val="es-ES"/>
        </w:rPr>
      </w:pPr>
    </w:p>
    <w:p w:rsidR="00A358B1" w:rsidRPr="00A358B1" w:rsidRDefault="00A358B1" w:rsidP="00A358B1">
      <w:pPr>
        <w:pStyle w:val="Prrafodelista"/>
        <w:widowControl w:val="0"/>
        <w:numPr>
          <w:ilvl w:val="0"/>
          <w:numId w:val="2"/>
        </w:numPr>
        <w:autoSpaceDE w:val="0"/>
        <w:autoSpaceDN w:val="0"/>
        <w:adjustRightInd w:val="0"/>
        <w:spacing w:line="360" w:lineRule="auto"/>
        <w:rPr>
          <w:rFonts w:ascii="Arial" w:hAnsi="Arial" w:cs="Arial"/>
          <w:color w:val="000000" w:themeColor="text1"/>
          <w:lang w:val="en-US"/>
        </w:rPr>
      </w:pPr>
      <w:r w:rsidRPr="00A358B1">
        <w:rPr>
          <w:rFonts w:ascii="Arial" w:eastAsiaTheme="minorHAnsi" w:hAnsi="Arial" w:cs="Arial"/>
          <w:lang w:val="en-US" w:eastAsia="en-US"/>
        </w:rPr>
        <w:t>Smith BD, Patel N, Beckett GA, et al. Hepatitis C virus antibody prevalence, correlates and predictors among persons born from 1945 through 1965, United States, 1999–2008 [Abstract]. American Association for the Study of Liver Disease; San Francisco, CA 2011.</w:t>
      </w:r>
    </w:p>
    <w:p w:rsidR="00A358B1" w:rsidRPr="00A358B1" w:rsidRDefault="00A358B1" w:rsidP="00A358B1">
      <w:pPr>
        <w:pStyle w:val="Prrafodelista"/>
        <w:widowControl w:val="0"/>
        <w:autoSpaceDE w:val="0"/>
        <w:autoSpaceDN w:val="0"/>
        <w:adjustRightInd w:val="0"/>
        <w:spacing w:line="360" w:lineRule="auto"/>
        <w:ind w:left="360"/>
        <w:rPr>
          <w:rFonts w:ascii="Arial" w:hAnsi="Arial" w:cs="Arial"/>
          <w:color w:val="000000" w:themeColor="text1"/>
          <w:lang w:val="en-US"/>
        </w:rPr>
      </w:pPr>
    </w:p>
    <w:p w:rsidR="00A358B1" w:rsidRPr="00A358B1" w:rsidRDefault="00A358B1" w:rsidP="00A358B1">
      <w:pPr>
        <w:pStyle w:val="Prrafodelista"/>
        <w:numPr>
          <w:ilvl w:val="0"/>
          <w:numId w:val="2"/>
        </w:numPr>
        <w:spacing w:before="100" w:beforeAutospacing="1" w:after="100" w:afterAutospacing="1" w:line="360" w:lineRule="auto"/>
        <w:rPr>
          <w:rFonts w:ascii="Arial" w:hAnsi="Arial" w:cs="Arial"/>
          <w:lang w:val="es-ES"/>
        </w:rPr>
      </w:pPr>
      <w:r w:rsidRPr="00A358B1">
        <w:rPr>
          <w:rFonts w:ascii="Arial" w:hAnsi="Arial" w:cs="Arial"/>
          <w:lang w:val="es-ES"/>
        </w:rPr>
        <w:lastRenderedPageBreak/>
        <w:t xml:space="preserve">Instituto nacional de salud. </w:t>
      </w:r>
      <w:r w:rsidRPr="00A358B1">
        <w:rPr>
          <w:rFonts w:ascii="Arial" w:hAnsi="Arial" w:cs="Arial"/>
        </w:rPr>
        <w:t xml:space="preserve">Proceso vigilancia y analisis del riesgo en salud pública. Informe de evento. Hepatitis B, C y B-Delta Colombia 2017. For r02.4000-001. Versión: 03. 2018 04 20 </w:t>
      </w:r>
    </w:p>
    <w:p w:rsidR="00A358B1" w:rsidRPr="00A358B1" w:rsidRDefault="00A358B1" w:rsidP="00A358B1">
      <w:pPr>
        <w:pStyle w:val="Prrafodelista"/>
        <w:spacing w:line="360" w:lineRule="auto"/>
        <w:rPr>
          <w:rFonts w:ascii="Arial" w:eastAsiaTheme="minorHAnsi" w:hAnsi="Arial" w:cs="Arial"/>
          <w:color w:val="000000"/>
          <w:lang w:val="es-ES" w:eastAsia="en-US"/>
        </w:rPr>
      </w:pPr>
    </w:p>
    <w:p w:rsidR="00A358B1" w:rsidRPr="00A358B1" w:rsidRDefault="00A358B1" w:rsidP="00A358B1">
      <w:pPr>
        <w:pStyle w:val="Prrafodelista"/>
        <w:widowControl w:val="0"/>
        <w:numPr>
          <w:ilvl w:val="0"/>
          <w:numId w:val="2"/>
        </w:numPr>
        <w:autoSpaceDE w:val="0"/>
        <w:autoSpaceDN w:val="0"/>
        <w:adjustRightInd w:val="0"/>
        <w:spacing w:line="360" w:lineRule="auto"/>
        <w:rPr>
          <w:rFonts w:ascii="Arial" w:hAnsi="Arial" w:cs="Arial"/>
          <w:color w:val="000000" w:themeColor="text1"/>
          <w:lang w:val="en-US"/>
        </w:rPr>
      </w:pPr>
      <w:r w:rsidRPr="00A358B1">
        <w:rPr>
          <w:rFonts w:ascii="Arial" w:eastAsiaTheme="minorHAnsi" w:hAnsi="Arial" w:cs="Arial"/>
          <w:bCs/>
          <w:lang w:val="en-US"/>
        </w:rPr>
        <w:t>Alberti A</w:t>
      </w:r>
      <w:r w:rsidRPr="00A358B1">
        <w:rPr>
          <w:rFonts w:ascii="Arial" w:eastAsiaTheme="minorHAnsi" w:hAnsi="Arial" w:cs="Arial"/>
          <w:lang w:val="en-US"/>
        </w:rPr>
        <w:t xml:space="preserve">, </w:t>
      </w:r>
      <w:proofErr w:type="spellStart"/>
      <w:r w:rsidRPr="00A358B1">
        <w:rPr>
          <w:rFonts w:ascii="Arial" w:eastAsiaTheme="minorHAnsi" w:hAnsi="Arial" w:cs="Arial"/>
          <w:lang w:val="en-US"/>
        </w:rPr>
        <w:t>Chemello</w:t>
      </w:r>
      <w:proofErr w:type="spellEnd"/>
      <w:r w:rsidRPr="00A358B1">
        <w:rPr>
          <w:rFonts w:ascii="Arial" w:eastAsiaTheme="minorHAnsi" w:hAnsi="Arial" w:cs="Arial"/>
          <w:lang w:val="en-US"/>
        </w:rPr>
        <w:t xml:space="preserve"> L, </w:t>
      </w:r>
      <w:proofErr w:type="spellStart"/>
      <w:r w:rsidRPr="00A358B1">
        <w:rPr>
          <w:rFonts w:ascii="Arial" w:eastAsiaTheme="minorHAnsi" w:hAnsi="Arial" w:cs="Arial"/>
          <w:lang w:val="en-US"/>
        </w:rPr>
        <w:t>Benvegnu</w:t>
      </w:r>
      <w:proofErr w:type="spellEnd"/>
      <w:r w:rsidRPr="00A358B1">
        <w:rPr>
          <w:rFonts w:ascii="Arial" w:eastAsiaTheme="minorHAnsi" w:hAnsi="Arial" w:cs="Arial"/>
          <w:lang w:val="en-US"/>
        </w:rPr>
        <w:t xml:space="preserve">̀ L. Natural history of hepatitis C. </w:t>
      </w:r>
      <w:r w:rsidRPr="00A358B1">
        <w:rPr>
          <w:rFonts w:ascii="Arial" w:eastAsiaTheme="minorHAnsi" w:hAnsi="Arial" w:cs="Arial"/>
          <w:i/>
          <w:iCs/>
          <w:lang w:val="en-US"/>
        </w:rPr>
        <w:t xml:space="preserve">J </w:t>
      </w:r>
      <w:proofErr w:type="spellStart"/>
      <w:r w:rsidRPr="00A358B1">
        <w:rPr>
          <w:rFonts w:ascii="Arial" w:eastAsiaTheme="minorHAnsi" w:hAnsi="Arial" w:cs="Arial"/>
          <w:i/>
          <w:iCs/>
          <w:lang w:val="en-US"/>
        </w:rPr>
        <w:t>Hepatol</w:t>
      </w:r>
      <w:proofErr w:type="spellEnd"/>
      <w:r w:rsidRPr="00A358B1">
        <w:rPr>
          <w:rFonts w:ascii="Arial" w:eastAsiaTheme="minorHAnsi" w:hAnsi="Arial" w:cs="Arial"/>
          <w:i/>
          <w:iCs/>
          <w:lang w:val="en-US"/>
        </w:rPr>
        <w:t xml:space="preserve"> </w:t>
      </w:r>
      <w:r w:rsidRPr="00A358B1">
        <w:rPr>
          <w:rFonts w:ascii="Arial" w:eastAsiaTheme="minorHAnsi" w:hAnsi="Arial" w:cs="Arial"/>
          <w:lang w:val="en-US"/>
        </w:rPr>
        <w:t xml:space="preserve">1999; </w:t>
      </w:r>
      <w:r w:rsidRPr="00A358B1">
        <w:rPr>
          <w:rFonts w:ascii="Arial" w:eastAsiaTheme="minorHAnsi" w:hAnsi="Arial" w:cs="Arial"/>
          <w:b/>
          <w:bCs/>
          <w:lang w:val="en-US"/>
        </w:rPr>
        <w:t xml:space="preserve">31 </w:t>
      </w:r>
      <w:proofErr w:type="spellStart"/>
      <w:r w:rsidRPr="00A358B1">
        <w:rPr>
          <w:rFonts w:ascii="Arial" w:eastAsiaTheme="minorHAnsi" w:hAnsi="Arial" w:cs="Arial"/>
          <w:lang w:val="en-US"/>
        </w:rPr>
        <w:t>Suppl</w:t>
      </w:r>
      <w:proofErr w:type="spellEnd"/>
      <w:r w:rsidRPr="00A358B1">
        <w:rPr>
          <w:rFonts w:ascii="Arial" w:eastAsiaTheme="minorHAnsi" w:hAnsi="Arial" w:cs="Arial"/>
          <w:lang w:val="en-US"/>
        </w:rPr>
        <w:t xml:space="preserve"> 1: 17-24 </w:t>
      </w:r>
    </w:p>
    <w:p w:rsidR="00A358B1" w:rsidRPr="00A358B1" w:rsidRDefault="00A358B1" w:rsidP="00A358B1">
      <w:pPr>
        <w:pStyle w:val="Prrafodelista"/>
        <w:spacing w:line="360" w:lineRule="auto"/>
        <w:rPr>
          <w:rFonts w:ascii="Arial" w:eastAsiaTheme="minorHAnsi" w:hAnsi="Arial" w:cs="Arial"/>
          <w:color w:val="000000"/>
          <w:lang w:val="en-US" w:eastAsia="en-US"/>
        </w:rPr>
      </w:pPr>
    </w:p>
    <w:p w:rsidR="00A358B1" w:rsidRPr="00A358B1" w:rsidRDefault="00A358B1" w:rsidP="00A358B1">
      <w:pPr>
        <w:pStyle w:val="Prrafodelista"/>
        <w:numPr>
          <w:ilvl w:val="0"/>
          <w:numId w:val="2"/>
        </w:numPr>
        <w:spacing w:before="100" w:beforeAutospacing="1" w:after="100" w:afterAutospacing="1" w:line="360" w:lineRule="auto"/>
        <w:rPr>
          <w:rFonts w:ascii="Arial" w:hAnsi="Arial" w:cs="Arial"/>
          <w:lang w:val="es-ES"/>
        </w:rPr>
      </w:pPr>
      <w:r w:rsidRPr="00A358B1">
        <w:rPr>
          <w:rFonts w:ascii="Arial" w:hAnsi="Arial" w:cs="Arial"/>
        </w:rPr>
        <w:t xml:space="preserve">Yepes I de J, Lince B, Caez C, de Vuono G. Factores de riesgo para la infección por el virus de la hepatitis C en la Costa Caribe colombiana: un estudio de casos y controles. Biomédica 2016;36:564-71 </w:t>
      </w:r>
    </w:p>
    <w:p w:rsidR="00A358B1" w:rsidRPr="00A358B1" w:rsidRDefault="00A358B1" w:rsidP="00A358B1">
      <w:pPr>
        <w:pStyle w:val="Prrafodelista"/>
        <w:spacing w:line="360" w:lineRule="auto"/>
        <w:rPr>
          <w:rFonts w:ascii="Arial" w:eastAsiaTheme="minorHAnsi" w:hAnsi="Arial" w:cs="Arial"/>
          <w:color w:val="000000"/>
          <w:lang w:val="es-ES" w:eastAsia="en-US"/>
        </w:rPr>
      </w:pPr>
    </w:p>
    <w:p w:rsidR="00A358B1" w:rsidRPr="00A358B1" w:rsidRDefault="00A358B1" w:rsidP="00A358B1">
      <w:pPr>
        <w:pStyle w:val="Prrafodelista"/>
        <w:widowControl w:val="0"/>
        <w:numPr>
          <w:ilvl w:val="0"/>
          <w:numId w:val="2"/>
        </w:numPr>
        <w:autoSpaceDE w:val="0"/>
        <w:autoSpaceDN w:val="0"/>
        <w:adjustRightInd w:val="0"/>
        <w:spacing w:line="360" w:lineRule="auto"/>
        <w:rPr>
          <w:rFonts w:ascii="Arial" w:hAnsi="Arial" w:cs="Arial"/>
          <w:color w:val="000000" w:themeColor="text1"/>
          <w:lang w:val="es-ES"/>
        </w:rPr>
      </w:pPr>
      <w:r w:rsidRPr="00A358B1">
        <w:rPr>
          <w:rFonts w:ascii="Arial" w:hAnsi="Arial" w:cs="Arial"/>
          <w:color w:val="000000" w:themeColor="text1"/>
          <w:lang w:val="es-ES"/>
        </w:rPr>
        <w:t xml:space="preserve">Fernando de la Hoz R.  MD, </w:t>
      </w:r>
      <w:proofErr w:type="spellStart"/>
      <w:r w:rsidRPr="00A358B1">
        <w:rPr>
          <w:rFonts w:ascii="Arial" w:hAnsi="Arial" w:cs="Arial"/>
          <w:color w:val="000000" w:themeColor="text1"/>
          <w:lang w:val="es-ES"/>
        </w:rPr>
        <w:t>MSc</w:t>
      </w:r>
      <w:proofErr w:type="spellEnd"/>
      <w:r w:rsidRPr="00A358B1">
        <w:rPr>
          <w:rFonts w:ascii="Arial" w:hAnsi="Arial" w:cs="Arial"/>
          <w:color w:val="000000" w:themeColor="text1"/>
          <w:lang w:val="es-ES"/>
        </w:rPr>
        <w:t xml:space="preserve">.  Epidemiología de la hepatitis C  en </w:t>
      </w:r>
      <w:proofErr w:type="spellStart"/>
      <w:r w:rsidRPr="00A358B1">
        <w:rPr>
          <w:rFonts w:ascii="Arial" w:hAnsi="Arial" w:cs="Arial"/>
          <w:color w:val="000000" w:themeColor="text1"/>
          <w:lang w:val="es-ES"/>
        </w:rPr>
        <w:t>Latinoamerica</w:t>
      </w:r>
      <w:proofErr w:type="spellEnd"/>
      <w:r w:rsidRPr="00A358B1">
        <w:rPr>
          <w:rFonts w:ascii="Arial" w:hAnsi="Arial" w:cs="Arial"/>
          <w:color w:val="000000" w:themeColor="text1"/>
          <w:lang w:val="es-ES"/>
        </w:rPr>
        <w:t xml:space="preserve"> y </w:t>
      </w:r>
      <w:proofErr w:type="spellStart"/>
      <w:r w:rsidRPr="00A358B1">
        <w:rPr>
          <w:rFonts w:ascii="Arial" w:hAnsi="Arial" w:cs="Arial"/>
          <w:color w:val="000000" w:themeColor="text1"/>
          <w:lang w:val="es-ES"/>
        </w:rPr>
        <w:t>colombia</w:t>
      </w:r>
      <w:proofErr w:type="spellEnd"/>
      <w:r w:rsidRPr="00A358B1">
        <w:rPr>
          <w:rFonts w:ascii="Arial" w:hAnsi="Arial" w:cs="Arial"/>
          <w:color w:val="000000" w:themeColor="text1"/>
          <w:lang w:val="es-ES"/>
        </w:rPr>
        <w:t xml:space="preserve">. Consenso Colombiano de Hepatitis C.  Conferencias. Repertorio de Medicina y Cirugía.  </w:t>
      </w:r>
      <w:proofErr w:type="spellStart"/>
      <w:r w:rsidRPr="00A358B1">
        <w:rPr>
          <w:rFonts w:ascii="Arial" w:hAnsi="Arial" w:cs="Arial"/>
          <w:color w:val="000000" w:themeColor="text1"/>
          <w:lang w:val="es-ES"/>
        </w:rPr>
        <w:t>Vol</w:t>
      </w:r>
      <w:proofErr w:type="spellEnd"/>
      <w:r w:rsidRPr="00A358B1">
        <w:rPr>
          <w:rFonts w:ascii="Arial" w:hAnsi="Arial" w:cs="Arial"/>
          <w:color w:val="000000" w:themeColor="text1"/>
          <w:lang w:val="es-ES"/>
        </w:rPr>
        <w:t xml:space="preserve"> 1. No.1 . 2002, 2: 9-14.</w:t>
      </w:r>
    </w:p>
    <w:p w:rsidR="00A358B1" w:rsidRPr="00A358B1" w:rsidRDefault="00A358B1" w:rsidP="00A358B1">
      <w:pPr>
        <w:spacing w:line="360" w:lineRule="auto"/>
        <w:rPr>
          <w:rFonts w:ascii="Arial" w:eastAsiaTheme="minorHAnsi" w:hAnsi="Arial" w:cs="Arial"/>
          <w:color w:val="000000"/>
          <w:lang w:val="es-ES" w:eastAsia="en-US"/>
        </w:rPr>
      </w:pPr>
    </w:p>
    <w:p w:rsidR="00A358B1" w:rsidRPr="00A358B1" w:rsidRDefault="00A358B1" w:rsidP="00A358B1">
      <w:pPr>
        <w:pStyle w:val="Prrafodelista"/>
        <w:widowControl w:val="0"/>
        <w:numPr>
          <w:ilvl w:val="0"/>
          <w:numId w:val="2"/>
        </w:numPr>
        <w:autoSpaceDE w:val="0"/>
        <w:autoSpaceDN w:val="0"/>
        <w:adjustRightInd w:val="0"/>
        <w:spacing w:line="360" w:lineRule="auto"/>
        <w:rPr>
          <w:rFonts w:ascii="Arial" w:hAnsi="Arial" w:cs="Arial"/>
          <w:color w:val="000000" w:themeColor="text1"/>
          <w:lang w:val="es-ES"/>
        </w:rPr>
      </w:pPr>
      <w:r w:rsidRPr="00A358B1">
        <w:rPr>
          <w:rFonts w:ascii="Arial" w:hAnsi="Arial" w:cs="Arial"/>
          <w:lang w:val="es-ES"/>
        </w:rPr>
        <w:t xml:space="preserve">Instituto nacional de salud. </w:t>
      </w:r>
      <w:r w:rsidRPr="00A358B1">
        <w:rPr>
          <w:rFonts w:ascii="Arial" w:hAnsi="Arial" w:cs="Arial"/>
        </w:rPr>
        <w:t xml:space="preserve">Proceso vigilancia y analisis del riesgo en salud pública. Informe de evento. Hepatitis B, C y B-D Colombia. </w:t>
      </w:r>
      <w:r w:rsidRPr="00A358B1">
        <w:rPr>
          <w:rFonts w:ascii="Arial" w:hAnsi="Arial" w:cs="Arial"/>
          <w:color w:val="000000" w:themeColor="text1"/>
        </w:rPr>
        <w:t xml:space="preserve">Jenny Carolina Peralta Carvajal. jperalta@ins.gov.co. Dirección de Vigilancia y Análisis del Riesgo en Salud Publica. </w:t>
      </w:r>
      <w:r w:rsidRPr="00A358B1">
        <w:rPr>
          <w:rFonts w:ascii="Arial" w:hAnsi="Arial" w:cs="Arial"/>
        </w:rPr>
        <w:t>Semanas epidemiológicas 01-12, 2018</w:t>
      </w:r>
    </w:p>
    <w:p w:rsidR="00A358B1" w:rsidRPr="00A358B1" w:rsidRDefault="00A358B1" w:rsidP="00A358B1">
      <w:pPr>
        <w:widowControl w:val="0"/>
        <w:autoSpaceDE w:val="0"/>
        <w:autoSpaceDN w:val="0"/>
        <w:adjustRightInd w:val="0"/>
        <w:spacing w:line="360" w:lineRule="auto"/>
        <w:rPr>
          <w:rFonts w:ascii="Arial" w:hAnsi="Arial" w:cs="Arial"/>
          <w:color w:val="000000" w:themeColor="text1"/>
          <w:lang w:val="es-ES"/>
        </w:rPr>
      </w:pPr>
    </w:p>
    <w:p w:rsidR="00A358B1" w:rsidRPr="00A358B1" w:rsidRDefault="00A358B1" w:rsidP="00A358B1">
      <w:pPr>
        <w:pStyle w:val="Prrafodelista"/>
        <w:widowControl w:val="0"/>
        <w:numPr>
          <w:ilvl w:val="0"/>
          <w:numId w:val="2"/>
        </w:numPr>
        <w:autoSpaceDE w:val="0"/>
        <w:autoSpaceDN w:val="0"/>
        <w:adjustRightInd w:val="0"/>
        <w:spacing w:line="360" w:lineRule="auto"/>
        <w:rPr>
          <w:rFonts w:ascii="Arial" w:eastAsiaTheme="minorEastAsia" w:hAnsi="Arial" w:cs="Arial"/>
          <w:color w:val="000000" w:themeColor="text1"/>
          <w:lang w:val="es-ES" w:eastAsia="es-ES"/>
        </w:rPr>
      </w:pPr>
      <w:proofErr w:type="spellStart"/>
      <w:r w:rsidRPr="00A358B1">
        <w:rPr>
          <w:rFonts w:ascii="Arial" w:eastAsiaTheme="minorHAnsi" w:hAnsi="Arial" w:cs="Arial"/>
          <w:color w:val="000000" w:themeColor="text1"/>
          <w:lang w:val="es-ES" w:eastAsia="en-US"/>
        </w:rPr>
        <w:t>Berbesi</w:t>
      </w:r>
      <w:proofErr w:type="spellEnd"/>
      <w:r w:rsidRPr="00A358B1">
        <w:rPr>
          <w:rFonts w:ascii="Arial" w:eastAsiaTheme="minorHAnsi" w:hAnsi="Arial" w:cs="Arial"/>
          <w:color w:val="000000" w:themeColor="text1"/>
          <w:lang w:val="es-ES" w:eastAsia="en-US"/>
        </w:rPr>
        <w:t>-Fernández D, Segura-Cardona Á, Montoya-Vélez L, Castaño-</w:t>
      </w:r>
      <w:proofErr w:type="spellStart"/>
      <w:r w:rsidRPr="00A358B1">
        <w:rPr>
          <w:rFonts w:ascii="Arial" w:eastAsiaTheme="minorHAnsi" w:hAnsi="Arial" w:cs="Arial"/>
          <w:color w:val="000000" w:themeColor="text1"/>
          <w:lang w:val="es-ES" w:eastAsia="en-US"/>
        </w:rPr>
        <w:t>Perez</w:t>
      </w:r>
      <w:proofErr w:type="spellEnd"/>
      <w:r w:rsidRPr="00A358B1">
        <w:rPr>
          <w:rFonts w:ascii="Arial" w:eastAsiaTheme="minorHAnsi" w:hAnsi="Arial" w:cs="Arial"/>
          <w:color w:val="000000" w:themeColor="text1"/>
          <w:lang w:val="es-ES" w:eastAsia="en-US"/>
        </w:rPr>
        <w:t xml:space="preserve"> GA. Hepatitis C y VIH en usuarios de drogas inyectables en Armenia-Colombia. Vol. 27, Adicciones. 2015. p. 246–52</w:t>
      </w:r>
    </w:p>
    <w:p w:rsidR="00A358B1" w:rsidRPr="00A358B1" w:rsidRDefault="00A358B1" w:rsidP="00A358B1">
      <w:pPr>
        <w:pStyle w:val="Prrafodelista"/>
        <w:spacing w:line="360" w:lineRule="auto"/>
        <w:rPr>
          <w:rFonts w:ascii="Arial" w:eastAsiaTheme="minorHAnsi" w:hAnsi="Arial" w:cs="Arial"/>
          <w:color w:val="000000"/>
          <w:lang w:val="es-ES" w:eastAsia="en-US"/>
        </w:rPr>
      </w:pPr>
    </w:p>
    <w:p w:rsidR="00A358B1" w:rsidRPr="00A358B1" w:rsidRDefault="00A358B1" w:rsidP="00A358B1">
      <w:pPr>
        <w:pStyle w:val="Prrafodelista"/>
        <w:widowControl w:val="0"/>
        <w:numPr>
          <w:ilvl w:val="0"/>
          <w:numId w:val="2"/>
        </w:numPr>
        <w:autoSpaceDE w:val="0"/>
        <w:autoSpaceDN w:val="0"/>
        <w:adjustRightInd w:val="0"/>
        <w:spacing w:line="360" w:lineRule="auto"/>
        <w:rPr>
          <w:rFonts w:ascii="Arial" w:hAnsi="Arial" w:cs="Arial"/>
          <w:color w:val="000000" w:themeColor="text1"/>
          <w:lang w:val="es-ES"/>
        </w:rPr>
      </w:pPr>
      <w:r w:rsidRPr="00A358B1">
        <w:rPr>
          <w:rFonts w:ascii="Arial" w:eastAsiaTheme="minorHAnsi" w:hAnsi="Arial" w:cs="Arial"/>
          <w:color w:val="000000"/>
          <w:lang w:val="es-ES" w:eastAsia="en-US"/>
        </w:rPr>
        <w:t>Óscar Santos, Alberto Gómez, et al. Genotipos circulantes del virus de la hepatitis C en Colombia . Biomédica 2017;37:22-27</w:t>
      </w:r>
    </w:p>
    <w:p w:rsidR="00A358B1" w:rsidRPr="00A358B1" w:rsidRDefault="00A358B1" w:rsidP="00A358B1">
      <w:pPr>
        <w:widowControl w:val="0"/>
        <w:autoSpaceDE w:val="0"/>
        <w:autoSpaceDN w:val="0"/>
        <w:adjustRightInd w:val="0"/>
        <w:spacing w:line="360" w:lineRule="auto"/>
        <w:rPr>
          <w:rFonts w:ascii="Arial" w:hAnsi="Arial" w:cs="Arial"/>
          <w:color w:val="000000" w:themeColor="text1"/>
          <w:lang w:val="es-ES"/>
        </w:rPr>
      </w:pPr>
    </w:p>
    <w:p w:rsidR="00A358B1" w:rsidRPr="00A358B1" w:rsidRDefault="00A358B1" w:rsidP="00A358B1">
      <w:pPr>
        <w:pStyle w:val="Prrafodelista"/>
        <w:widowControl w:val="0"/>
        <w:numPr>
          <w:ilvl w:val="0"/>
          <w:numId w:val="2"/>
        </w:numPr>
        <w:autoSpaceDE w:val="0"/>
        <w:autoSpaceDN w:val="0"/>
        <w:adjustRightInd w:val="0"/>
        <w:spacing w:line="360" w:lineRule="auto"/>
        <w:rPr>
          <w:rFonts w:ascii="Arial" w:hAnsi="Arial" w:cs="Arial"/>
          <w:color w:val="000000" w:themeColor="text1"/>
          <w:lang w:val="es-ES"/>
        </w:rPr>
      </w:pPr>
      <w:r w:rsidRPr="00A358B1">
        <w:rPr>
          <w:rFonts w:ascii="Arial" w:eastAsiaTheme="minorHAnsi" w:hAnsi="Arial" w:cs="Arial"/>
          <w:color w:val="000000" w:themeColor="text1"/>
          <w:lang w:val="en-US" w:eastAsia="en-US"/>
        </w:rPr>
        <w:t xml:space="preserve">Platt L, Easterbrook P, Gower E, et al. Prevalence and burden of HCV co-infection in people living with HIV: a global systematic review and meta-analysis. </w:t>
      </w:r>
      <w:proofErr w:type="spellStart"/>
      <w:r w:rsidRPr="00A358B1">
        <w:rPr>
          <w:rFonts w:ascii="Arial" w:eastAsiaTheme="minorHAnsi" w:hAnsi="Arial" w:cs="Arial"/>
          <w:color w:val="000000" w:themeColor="text1"/>
          <w:lang w:val="es-ES" w:eastAsia="en-US"/>
        </w:rPr>
        <w:t>Lancet</w:t>
      </w:r>
      <w:proofErr w:type="spellEnd"/>
      <w:r w:rsidRPr="00A358B1">
        <w:rPr>
          <w:rFonts w:ascii="Arial" w:eastAsiaTheme="minorHAnsi" w:hAnsi="Arial" w:cs="Arial"/>
          <w:color w:val="000000" w:themeColor="text1"/>
          <w:lang w:val="es-ES" w:eastAsia="en-US"/>
        </w:rPr>
        <w:t xml:space="preserve"> </w:t>
      </w:r>
      <w:proofErr w:type="spellStart"/>
      <w:r w:rsidRPr="00A358B1">
        <w:rPr>
          <w:rFonts w:ascii="Arial" w:eastAsiaTheme="minorHAnsi" w:hAnsi="Arial" w:cs="Arial"/>
          <w:color w:val="000000" w:themeColor="text1"/>
          <w:lang w:val="es-ES" w:eastAsia="en-US"/>
        </w:rPr>
        <w:t>Infect</w:t>
      </w:r>
      <w:proofErr w:type="spellEnd"/>
      <w:r w:rsidRPr="00A358B1">
        <w:rPr>
          <w:rFonts w:ascii="Arial" w:eastAsiaTheme="minorHAnsi" w:hAnsi="Arial" w:cs="Arial"/>
          <w:color w:val="000000" w:themeColor="text1"/>
          <w:lang w:val="es-ES" w:eastAsia="en-US"/>
        </w:rPr>
        <w:t xml:space="preserve"> </w:t>
      </w:r>
      <w:proofErr w:type="spellStart"/>
      <w:r w:rsidRPr="00A358B1">
        <w:rPr>
          <w:rFonts w:ascii="Arial" w:eastAsiaTheme="minorHAnsi" w:hAnsi="Arial" w:cs="Arial"/>
          <w:color w:val="000000" w:themeColor="text1"/>
          <w:lang w:val="es-ES" w:eastAsia="en-US"/>
        </w:rPr>
        <w:t>Dis</w:t>
      </w:r>
      <w:proofErr w:type="spellEnd"/>
      <w:r w:rsidRPr="00A358B1">
        <w:rPr>
          <w:rFonts w:ascii="Arial" w:eastAsiaTheme="minorHAnsi" w:hAnsi="Arial" w:cs="Arial"/>
          <w:color w:val="000000" w:themeColor="text1"/>
          <w:lang w:val="es-ES" w:eastAsia="en-US"/>
        </w:rPr>
        <w:t xml:space="preserve"> 2016; 16:797.</w:t>
      </w:r>
    </w:p>
    <w:p w:rsidR="00A358B1" w:rsidRPr="00A358B1" w:rsidRDefault="00A358B1" w:rsidP="00A358B1">
      <w:pPr>
        <w:widowControl w:val="0"/>
        <w:autoSpaceDE w:val="0"/>
        <w:autoSpaceDN w:val="0"/>
        <w:adjustRightInd w:val="0"/>
        <w:spacing w:line="360" w:lineRule="auto"/>
        <w:rPr>
          <w:rFonts w:ascii="Arial" w:hAnsi="Arial" w:cs="Arial"/>
          <w:color w:val="000000" w:themeColor="text1"/>
          <w:lang w:val="es-ES"/>
        </w:rPr>
      </w:pPr>
    </w:p>
    <w:p w:rsidR="00A358B1" w:rsidRPr="00A358B1" w:rsidRDefault="00A358B1" w:rsidP="00A358B1">
      <w:pPr>
        <w:pStyle w:val="Prrafodelista"/>
        <w:widowControl w:val="0"/>
        <w:numPr>
          <w:ilvl w:val="0"/>
          <w:numId w:val="2"/>
        </w:numPr>
        <w:autoSpaceDE w:val="0"/>
        <w:autoSpaceDN w:val="0"/>
        <w:adjustRightInd w:val="0"/>
        <w:spacing w:line="360" w:lineRule="auto"/>
        <w:rPr>
          <w:rFonts w:ascii="Arial" w:hAnsi="Arial" w:cs="Arial"/>
          <w:color w:val="000000" w:themeColor="text1"/>
          <w:lang w:val="es-ES"/>
        </w:rPr>
      </w:pPr>
      <w:proofErr w:type="spellStart"/>
      <w:r w:rsidRPr="00A358B1">
        <w:rPr>
          <w:rFonts w:ascii="Arial" w:eastAsiaTheme="minorHAnsi" w:hAnsi="Arial" w:cs="Arial"/>
          <w:color w:val="000000" w:themeColor="text1"/>
          <w:lang w:val="es-ES" w:eastAsia="en-US"/>
        </w:rPr>
        <w:lastRenderedPageBreak/>
        <w:t>Cacciola</w:t>
      </w:r>
      <w:proofErr w:type="spellEnd"/>
      <w:r w:rsidRPr="00A358B1">
        <w:rPr>
          <w:rFonts w:ascii="Arial" w:eastAsiaTheme="minorHAnsi" w:hAnsi="Arial" w:cs="Arial"/>
          <w:color w:val="000000" w:themeColor="text1"/>
          <w:lang w:val="es-ES" w:eastAsia="en-US"/>
        </w:rPr>
        <w:t xml:space="preserve"> I, </w:t>
      </w:r>
      <w:proofErr w:type="spellStart"/>
      <w:r w:rsidRPr="00A358B1">
        <w:rPr>
          <w:rFonts w:ascii="Arial" w:eastAsiaTheme="minorHAnsi" w:hAnsi="Arial" w:cs="Arial"/>
          <w:color w:val="000000" w:themeColor="text1"/>
          <w:lang w:val="es-ES" w:eastAsia="en-US"/>
        </w:rPr>
        <w:t>Pollicino</w:t>
      </w:r>
      <w:proofErr w:type="spellEnd"/>
      <w:r w:rsidRPr="00A358B1">
        <w:rPr>
          <w:rFonts w:ascii="Arial" w:eastAsiaTheme="minorHAnsi" w:hAnsi="Arial" w:cs="Arial"/>
          <w:color w:val="000000" w:themeColor="text1"/>
          <w:lang w:val="es-ES" w:eastAsia="en-US"/>
        </w:rPr>
        <w:t xml:space="preserve"> T, </w:t>
      </w:r>
      <w:proofErr w:type="spellStart"/>
      <w:r w:rsidRPr="00A358B1">
        <w:rPr>
          <w:rFonts w:ascii="Arial" w:eastAsiaTheme="minorHAnsi" w:hAnsi="Arial" w:cs="Arial"/>
          <w:color w:val="000000" w:themeColor="text1"/>
          <w:lang w:val="es-ES" w:eastAsia="en-US"/>
        </w:rPr>
        <w:t>Squadrito</w:t>
      </w:r>
      <w:proofErr w:type="spellEnd"/>
      <w:r w:rsidRPr="00A358B1">
        <w:rPr>
          <w:rFonts w:ascii="Arial" w:eastAsiaTheme="minorHAnsi" w:hAnsi="Arial" w:cs="Arial"/>
          <w:color w:val="000000" w:themeColor="text1"/>
          <w:lang w:val="es-ES" w:eastAsia="en-US"/>
        </w:rPr>
        <w:t xml:space="preserve"> G, et al. </w:t>
      </w:r>
      <w:r w:rsidRPr="00A358B1">
        <w:rPr>
          <w:rFonts w:ascii="Arial" w:eastAsiaTheme="minorHAnsi" w:hAnsi="Arial" w:cs="Arial"/>
          <w:color w:val="000000" w:themeColor="text1"/>
          <w:lang w:val="en-US" w:eastAsia="en-US"/>
        </w:rPr>
        <w:t xml:space="preserve">Occult hepatitis B virus infection in patients with chronic hepatitis C liver disease. </w:t>
      </w:r>
      <w:r w:rsidRPr="00A358B1">
        <w:rPr>
          <w:rFonts w:ascii="Arial" w:eastAsiaTheme="minorHAnsi" w:hAnsi="Arial" w:cs="Arial"/>
          <w:color w:val="000000" w:themeColor="text1"/>
          <w:lang w:val="es-ES" w:eastAsia="en-US"/>
        </w:rPr>
        <w:t xml:space="preserve">N </w:t>
      </w:r>
      <w:proofErr w:type="spellStart"/>
      <w:r w:rsidRPr="00A358B1">
        <w:rPr>
          <w:rFonts w:ascii="Arial" w:eastAsiaTheme="minorHAnsi" w:hAnsi="Arial" w:cs="Arial"/>
          <w:color w:val="000000" w:themeColor="text1"/>
          <w:lang w:val="es-ES" w:eastAsia="en-US"/>
        </w:rPr>
        <w:t>Engl</w:t>
      </w:r>
      <w:proofErr w:type="spellEnd"/>
      <w:r w:rsidRPr="00A358B1">
        <w:rPr>
          <w:rFonts w:ascii="Arial" w:eastAsiaTheme="minorHAnsi" w:hAnsi="Arial" w:cs="Arial"/>
          <w:color w:val="000000" w:themeColor="text1"/>
          <w:lang w:val="es-ES" w:eastAsia="en-US"/>
        </w:rPr>
        <w:t xml:space="preserve"> J </w:t>
      </w:r>
      <w:proofErr w:type="spellStart"/>
      <w:r w:rsidRPr="00A358B1">
        <w:rPr>
          <w:rFonts w:ascii="Arial" w:eastAsiaTheme="minorHAnsi" w:hAnsi="Arial" w:cs="Arial"/>
          <w:color w:val="000000" w:themeColor="text1"/>
          <w:lang w:val="es-ES" w:eastAsia="en-US"/>
        </w:rPr>
        <w:t>Med</w:t>
      </w:r>
      <w:proofErr w:type="spellEnd"/>
      <w:r w:rsidRPr="00A358B1">
        <w:rPr>
          <w:rFonts w:ascii="Arial" w:eastAsiaTheme="minorHAnsi" w:hAnsi="Arial" w:cs="Arial"/>
          <w:color w:val="000000" w:themeColor="text1"/>
          <w:lang w:val="es-ES" w:eastAsia="en-US"/>
        </w:rPr>
        <w:t xml:space="preserve"> 1999; 341:22.</w:t>
      </w:r>
    </w:p>
    <w:p w:rsidR="00A358B1" w:rsidRPr="00A358B1" w:rsidRDefault="00A358B1" w:rsidP="00A358B1">
      <w:pPr>
        <w:spacing w:line="360" w:lineRule="auto"/>
        <w:rPr>
          <w:rFonts w:ascii="Arial" w:hAnsi="Arial" w:cs="Arial"/>
          <w:color w:val="000000" w:themeColor="text1"/>
          <w:lang w:val="es-ES"/>
        </w:rPr>
        <w:sectPr w:rsidR="00A358B1" w:rsidRPr="00A358B1">
          <w:type w:val="continuous"/>
          <w:pgSz w:w="12240" w:h="15840"/>
          <w:pgMar w:top="1417" w:right="1701" w:bottom="1417" w:left="1701" w:header="708" w:footer="708" w:gutter="0"/>
          <w:cols w:space="720"/>
        </w:sectPr>
      </w:pPr>
    </w:p>
    <w:p w:rsidR="00A358B1" w:rsidRPr="00A358B1" w:rsidRDefault="00A358B1" w:rsidP="00A358B1">
      <w:pPr>
        <w:pStyle w:val="Prrafodelista"/>
        <w:numPr>
          <w:ilvl w:val="0"/>
          <w:numId w:val="2"/>
        </w:numPr>
        <w:spacing w:before="100" w:beforeAutospacing="1" w:after="100" w:afterAutospacing="1" w:line="360" w:lineRule="auto"/>
        <w:rPr>
          <w:rFonts w:ascii="Arial" w:hAnsi="Arial" w:cs="Arial"/>
          <w:lang w:val="es-ES"/>
        </w:rPr>
      </w:pPr>
      <w:r w:rsidRPr="00A358B1">
        <w:rPr>
          <w:rFonts w:ascii="Arial" w:hAnsi="Arial" w:cs="Arial"/>
          <w:lang w:val="en-US"/>
        </w:rPr>
        <w:t xml:space="preserve">Parker WH, Wagner WH. Gynecologic surgery and the management of hemorrhage. </w:t>
      </w:r>
      <w:proofErr w:type="spellStart"/>
      <w:r w:rsidRPr="00A358B1">
        <w:rPr>
          <w:rFonts w:ascii="Arial" w:hAnsi="Arial" w:cs="Arial"/>
          <w:lang w:val="es-ES"/>
        </w:rPr>
        <w:t>Obstet</w:t>
      </w:r>
      <w:proofErr w:type="spellEnd"/>
      <w:r w:rsidRPr="00A358B1">
        <w:rPr>
          <w:rFonts w:ascii="Arial" w:hAnsi="Arial" w:cs="Arial"/>
          <w:lang w:val="es-ES"/>
        </w:rPr>
        <w:t xml:space="preserve"> </w:t>
      </w:r>
      <w:proofErr w:type="spellStart"/>
      <w:r w:rsidRPr="00A358B1">
        <w:rPr>
          <w:rFonts w:ascii="Arial" w:hAnsi="Arial" w:cs="Arial"/>
          <w:lang w:val="es-ES"/>
        </w:rPr>
        <w:t>Gynecol</w:t>
      </w:r>
      <w:proofErr w:type="spellEnd"/>
      <w:r w:rsidRPr="00A358B1">
        <w:rPr>
          <w:rFonts w:ascii="Arial" w:hAnsi="Arial" w:cs="Arial"/>
          <w:lang w:val="es-ES"/>
        </w:rPr>
        <w:t xml:space="preserve"> </w:t>
      </w:r>
      <w:proofErr w:type="spellStart"/>
      <w:r w:rsidRPr="00A358B1">
        <w:rPr>
          <w:rFonts w:ascii="Arial" w:hAnsi="Arial" w:cs="Arial"/>
          <w:lang w:val="es-ES"/>
        </w:rPr>
        <w:t>Clin</w:t>
      </w:r>
      <w:proofErr w:type="spellEnd"/>
      <w:r w:rsidRPr="00A358B1">
        <w:rPr>
          <w:rFonts w:ascii="Arial" w:hAnsi="Arial" w:cs="Arial"/>
          <w:lang w:val="es-ES"/>
        </w:rPr>
        <w:t xml:space="preserve"> North Am [Internet]. 2010;37(3):427–36.</w:t>
      </w:r>
    </w:p>
    <w:p w:rsidR="00A358B1" w:rsidRPr="00A358B1" w:rsidRDefault="00A358B1" w:rsidP="00A358B1">
      <w:pPr>
        <w:pStyle w:val="Prrafodelista"/>
        <w:spacing w:line="360" w:lineRule="auto"/>
        <w:rPr>
          <w:rFonts w:ascii="Arial" w:eastAsiaTheme="minorHAnsi" w:hAnsi="Arial" w:cs="Arial"/>
          <w:color w:val="000000" w:themeColor="text1"/>
          <w:lang w:val="es-ES" w:eastAsia="en-US"/>
        </w:rPr>
      </w:pPr>
    </w:p>
    <w:p w:rsidR="00A358B1" w:rsidRPr="00A358B1" w:rsidRDefault="00A358B1" w:rsidP="00A358B1">
      <w:pPr>
        <w:pStyle w:val="Prrafodelista"/>
        <w:numPr>
          <w:ilvl w:val="0"/>
          <w:numId w:val="2"/>
        </w:numPr>
        <w:spacing w:before="100" w:beforeAutospacing="1" w:after="100" w:afterAutospacing="1" w:line="360" w:lineRule="auto"/>
        <w:rPr>
          <w:rFonts w:ascii="Arial" w:hAnsi="Arial" w:cs="Arial"/>
          <w:lang w:val="es-ES"/>
        </w:rPr>
      </w:pPr>
      <w:proofErr w:type="spellStart"/>
      <w:r w:rsidRPr="00A358B1">
        <w:rPr>
          <w:rFonts w:ascii="Arial" w:eastAsiaTheme="minorHAnsi" w:hAnsi="Arial" w:cs="Arial"/>
          <w:color w:val="000000" w:themeColor="text1"/>
          <w:lang w:val="es-ES" w:eastAsia="en-US"/>
        </w:rPr>
        <w:t>Berbesi</w:t>
      </w:r>
      <w:proofErr w:type="spellEnd"/>
      <w:r w:rsidRPr="00A358B1">
        <w:rPr>
          <w:rFonts w:ascii="Arial" w:eastAsiaTheme="minorHAnsi" w:hAnsi="Arial" w:cs="Arial"/>
          <w:color w:val="000000" w:themeColor="text1"/>
          <w:lang w:val="es-ES" w:eastAsia="en-US"/>
        </w:rPr>
        <w:t>-Fernández D, Segura-Cardona Á, Montoya-Vélez L, Ángel-</w:t>
      </w:r>
      <w:proofErr w:type="spellStart"/>
      <w:r w:rsidRPr="00A358B1">
        <w:rPr>
          <w:rFonts w:ascii="Arial" w:eastAsiaTheme="minorHAnsi" w:hAnsi="Arial" w:cs="Arial"/>
          <w:color w:val="000000" w:themeColor="text1"/>
          <w:lang w:val="es-ES" w:eastAsia="en-US"/>
        </w:rPr>
        <w:t>Santamatia</w:t>
      </w:r>
      <w:proofErr w:type="spellEnd"/>
      <w:r w:rsidRPr="00A358B1">
        <w:rPr>
          <w:rFonts w:ascii="Arial" w:eastAsiaTheme="minorHAnsi" w:hAnsi="Arial" w:cs="Arial"/>
          <w:color w:val="000000" w:themeColor="text1"/>
          <w:lang w:val="es-ES" w:eastAsia="en-US"/>
        </w:rPr>
        <w:t xml:space="preserve"> A.</w:t>
      </w:r>
      <w:r w:rsidRPr="00A358B1">
        <w:rPr>
          <w:rFonts w:ascii="Arial" w:hAnsi="Arial" w:cs="Arial"/>
          <w:lang w:val="es-ES"/>
        </w:rPr>
        <w:t xml:space="preserve"> Uso de </w:t>
      </w:r>
      <w:proofErr w:type="spellStart"/>
      <w:r w:rsidRPr="00A358B1">
        <w:rPr>
          <w:rFonts w:ascii="Arial" w:hAnsi="Arial" w:cs="Arial"/>
          <w:lang w:val="es-ES"/>
        </w:rPr>
        <w:t>heroína</w:t>
      </w:r>
      <w:proofErr w:type="spellEnd"/>
      <w:r w:rsidRPr="00A358B1">
        <w:rPr>
          <w:rFonts w:ascii="Arial" w:hAnsi="Arial" w:cs="Arial"/>
          <w:lang w:val="es-ES"/>
        </w:rPr>
        <w:t xml:space="preserve"> inyectada y el riesgo de hepatitis C en tres ciudades de Colombia. </w:t>
      </w:r>
      <w:proofErr w:type="spellStart"/>
      <w:r w:rsidRPr="00A358B1">
        <w:rPr>
          <w:rFonts w:ascii="Arial" w:hAnsi="Arial" w:cs="Arial"/>
          <w:color w:val="000000" w:themeColor="text1"/>
          <w:lang w:val="es-ES"/>
        </w:rPr>
        <w:t>Rev</w:t>
      </w:r>
      <w:proofErr w:type="spellEnd"/>
      <w:r w:rsidRPr="00A358B1">
        <w:rPr>
          <w:rFonts w:ascii="Arial" w:hAnsi="Arial" w:cs="Arial"/>
          <w:color w:val="000000" w:themeColor="text1"/>
          <w:lang w:val="es-ES"/>
        </w:rPr>
        <w:t xml:space="preserve"> </w:t>
      </w:r>
      <w:proofErr w:type="spellStart"/>
      <w:r w:rsidRPr="00A358B1">
        <w:rPr>
          <w:rFonts w:ascii="Arial" w:hAnsi="Arial" w:cs="Arial"/>
          <w:color w:val="000000" w:themeColor="text1"/>
          <w:lang w:val="es-ES"/>
        </w:rPr>
        <w:t>Bras</w:t>
      </w:r>
      <w:proofErr w:type="spellEnd"/>
      <w:r w:rsidRPr="00A358B1">
        <w:rPr>
          <w:rFonts w:ascii="Arial" w:hAnsi="Arial" w:cs="Arial"/>
          <w:color w:val="000000" w:themeColor="text1"/>
          <w:lang w:val="es-ES"/>
        </w:rPr>
        <w:t xml:space="preserve"> </w:t>
      </w:r>
      <w:proofErr w:type="spellStart"/>
      <w:r w:rsidRPr="00A358B1">
        <w:rPr>
          <w:rFonts w:ascii="Arial" w:hAnsi="Arial" w:cs="Arial"/>
          <w:color w:val="000000" w:themeColor="text1"/>
          <w:lang w:val="es-ES"/>
        </w:rPr>
        <w:t>Epidemiol</w:t>
      </w:r>
      <w:proofErr w:type="spellEnd"/>
      <w:r w:rsidRPr="00A358B1">
        <w:rPr>
          <w:rFonts w:ascii="Arial" w:hAnsi="Arial" w:cs="Arial"/>
          <w:color w:val="000000" w:themeColor="text1"/>
          <w:lang w:val="es-ES"/>
        </w:rPr>
        <w:t xml:space="preserve"> jul-set 2017; 20(3): 435-444 </w:t>
      </w:r>
    </w:p>
    <w:p w:rsidR="00A358B1" w:rsidRPr="00A358B1" w:rsidRDefault="00A358B1" w:rsidP="00A358B1">
      <w:pPr>
        <w:pStyle w:val="Prrafodelista"/>
        <w:spacing w:line="360" w:lineRule="auto"/>
        <w:rPr>
          <w:rFonts w:ascii="Arial" w:hAnsi="Arial" w:cs="Arial"/>
          <w:color w:val="000000" w:themeColor="text1"/>
        </w:rPr>
      </w:pPr>
    </w:p>
    <w:p w:rsidR="00A358B1" w:rsidRPr="00A358B1" w:rsidRDefault="00A358B1" w:rsidP="00A358B1">
      <w:pPr>
        <w:pStyle w:val="Prrafodelista"/>
        <w:numPr>
          <w:ilvl w:val="0"/>
          <w:numId w:val="2"/>
        </w:numPr>
        <w:spacing w:before="100" w:beforeAutospacing="1" w:after="100" w:afterAutospacing="1" w:line="360" w:lineRule="auto"/>
        <w:rPr>
          <w:rFonts w:ascii="Arial" w:hAnsi="Arial" w:cs="Arial"/>
        </w:rPr>
      </w:pPr>
      <w:r w:rsidRPr="00A358B1">
        <w:rPr>
          <w:rFonts w:ascii="Arial" w:hAnsi="Arial" w:cs="Arial"/>
        </w:rPr>
        <w:t>Arroyave JC, Álvarez C, Correa G, Balcázar NM, Arbeláez MP, Navas MC. Infección por el virus de la hepatitis C en individuos transfundidos antes de 1994 en Antioquia, Colombia. Rev Col Gastroenterol. 2014;29:383-9.</w:t>
      </w:r>
    </w:p>
    <w:p w:rsidR="00A358B1" w:rsidRPr="00A358B1" w:rsidRDefault="00A358B1" w:rsidP="00A358B1">
      <w:pPr>
        <w:pStyle w:val="Prrafodelista"/>
        <w:spacing w:before="100" w:beforeAutospacing="1" w:after="100" w:afterAutospacing="1" w:line="360" w:lineRule="auto"/>
        <w:ind w:left="360"/>
        <w:rPr>
          <w:rFonts w:ascii="Arial" w:hAnsi="Arial" w:cs="Arial"/>
          <w:lang w:val="es-ES"/>
        </w:rPr>
      </w:pPr>
    </w:p>
    <w:p w:rsidR="00A358B1" w:rsidRPr="00A358B1" w:rsidRDefault="00A358B1" w:rsidP="00A358B1">
      <w:pPr>
        <w:pStyle w:val="NormalWeb"/>
        <w:spacing w:line="360" w:lineRule="auto"/>
        <w:rPr>
          <w:rFonts w:ascii="Arial" w:hAnsi="Arial" w:cs="Arial"/>
          <w:sz w:val="24"/>
          <w:szCs w:val="24"/>
        </w:rPr>
      </w:pPr>
      <w:r w:rsidRPr="00A358B1">
        <w:rPr>
          <w:rFonts w:ascii="Arial" w:hAnsi="Arial" w:cs="Arial"/>
          <w:sz w:val="24"/>
          <w:szCs w:val="24"/>
          <w:lang w:val="es-ES"/>
        </w:rPr>
        <w:t xml:space="preserve"> </w:t>
      </w:r>
    </w:p>
    <w:p w:rsidR="00A358B1" w:rsidRPr="00A358B1" w:rsidRDefault="00A358B1" w:rsidP="00A358B1">
      <w:pPr>
        <w:pStyle w:val="NormalWeb"/>
        <w:spacing w:line="360" w:lineRule="auto"/>
        <w:rPr>
          <w:rFonts w:ascii="Arial" w:hAnsi="Arial" w:cs="Arial"/>
          <w:sz w:val="24"/>
          <w:szCs w:val="24"/>
        </w:rPr>
      </w:pPr>
      <w:r w:rsidRPr="00A358B1">
        <w:rPr>
          <w:rFonts w:ascii="Arial" w:hAnsi="Arial" w:cs="Arial"/>
          <w:sz w:val="24"/>
          <w:szCs w:val="24"/>
        </w:rPr>
        <w:t xml:space="preserve"> </w:t>
      </w:r>
    </w:p>
    <w:p w:rsidR="00A358B1" w:rsidRPr="00A358B1" w:rsidRDefault="00A358B1" w:rsidP="00A358B1">
      <w:pPr>
        <w:pStyle w:val="NormalWeb"/>
        <w:spacing w:line="360" w:lineRule="auto"/>
        <w:rPr>
          <w:rFonts w:ascii="Arial" w:hAnsi="Arial" w:cs="Arial"/>
          <w:sz w:val="24"/>
          <w:szCs w:val="24"/>
        </w:rPr>
      </w:pPr>
      <w:r w:rsidRPr="00A358B1">
        <w:rPr>
          <w:rFonts w:ascii="Arial" w:hAnsi="Arial" w:cs="Arial"/>
          <w:sz w:val="24"/>
          <w:szCs w:val="24"/>
        </w:rPr>
        <w:t xml:space="preserve"> </w:t>
      </w:r>
    </w:p>
    <w:p w:rsidR="00A358B1" w:rsidRPr="00A358B1" w:rsidRDefault="00A358B1" w:rsidP="00A358B1">
      <w:pPr>
        <w:pStyle w:val="NormalWeb"/>
        <w:spacing w:line="360" w:lineRule="auto"/>
        <w:rPr>
          <w:rFonts w:ascii="Arial" w:hAnsi="Arial" w:cs="Arial"/>
          <w:sz w:val="24"/>
          <w:szCs w:val="24"/>
        </w:rPr>
      </w:pPr>
    </w:p>
    <w:p w:rsidR="00A358B1" w:rsidRPr="00A358B1" w:rsidRDefault="00A358B1" w:rsidP="00A358B1">
      <w:pPr>
        <w:spacing w:before="100" w:beforeAutospacing="1" w:after="100" w:afterAutospacing="1" w:line="360" w:lineRule="auto"/>
        <w:rPr>
          <w:rFonts w:ascii="Arial" w:hAnsi="Arial" w:cs="Arial"/>
          <w:lang w:val="es-ES"/>
        </w:rPr>
      </w:pPr>
    </w:p>
    <w:p w:rsidR="00A358B1" w:rsidRPr="00A358B1" w:rsidRDefault="00A358B1" w:rsidP="00A358B1">
      <w:pPr>
        <w:spacing w:before="100" w:beforeAutospacing="1" w:after="100" w:afterAutospacing="1" w:line="360" w:lineRule="auto"/>
        <w:rPr>
          <w:rFonts w:ascii="Arial" w:hAnsi="Arial" w:cs="Arial"/>
          <w:lang w:val="es-ES"/>
        </w:rPr>
      </w:pPr>
    </w:p>
    <w:p w:rsidR="00A358B1" w:rsidRPr="00A358B1" w:rsidRDefault="00A358B1" w:rsidP="00A358B1">
      <w:pPr>
        <w:spacing w:line="360" w:lineRule="auto"/>
        <w:rPr>
          <w:rFonts w:ascii="Arial" w:hAnsi="Arial" w:cs="Arial"/>
          <w:color w:val="000000" w:themeColor="text1"/>
          <w:lang w:val="es-ES"/>
        </w:rPr>
      </w:pPr>
      <w:r w:rsidRPr="00A358B1">
        <w:rPr>
          <w:rFonts w:ascii="Arial" w:hAnsi="Arial" w:cs="Arial"/>
          <w:b/>
          <w:color w:val="000000" w:themeColor="text1"/>
          <w:lang w:val="es-ES"/>
        </w:rPr>
        <w:t>Tabla 1.</w:t>
      </w:r>
      <w:r w:rsidRPr="00A358B1">
        <w:rPr>
          <w:rFonts w:ascii="Arial" w:hAnsi="Arial" w:cs="Arial"/>
          <w:color w:val="000000" w:themeColor="text1"/>
          <w:lang w:val="es-ES"/>
        </w:rPr>
        <w:t xml:space="preserve"> Características generales de los pacientes con hepatitis C</w:t>
      </w:r>
    </w:p>
    <w:p w:rsidR="00A358B1" w:rsidRPr="00A358B1" w:rsidRDefault="00A358B1" w:rsidP="00A358B1">
      <w:pPr>
        <w:spacing w:line="360" w:lineRule="auto"/>
        <w:rPr>
          <w:rFonts w:ascii="Arial" w:hAnsi="Arial" w:cs="Arial"/>
          <w:color w:val="000000" w:themeColor="text1"/>
          <w:lang w:val="es-ES"/>
        </w:rPr>
      </w:pPr>
    </w:p>
    <w:tbl>
      <w:tblPr>
        <w:tblW w:w="4860" w:type="dxa"/>
        <w:tblCellMar>
          <w:left w:w="70" w:type="dxa"/>
          <w:right w:w="70" w:type="dxa"/>
        </w:tblCellMar>
        <w:tblLook w:val="04A0" w:firstRow="1" w:lastRow="0" w:firstColumn="1" w:lastColumn="0" w:noHBand="0" w:noVBand="1"/>
      </w:tblPr>
      <w:tblGrid>
        <w:gridCol w:w="3119"/>
        <w:gridCol w:w="554"/>
        <w:gridCol w:w="1187"/>
      </w:tblGrid>
      <w:tr w:rsidR="00A358B1" w:rsidRPr="00A358B1" w:rsidTr="00F900BB">
        <w:trPr>
          <w:trHeight w:val="310"/>
        </w:trPr>
        <w:tc>
          <w:tcPr>
            <w:tcW w:w="3119" w:type="dxa"/>
            <w:noWrap/>
            <w:vAlign w:val="bottom"/>
            <w:hideMark/>
          </w:tcPr>
          <w:p w:rsidR="00A358B1" w:rsidRPr="00A358B1" w:rsidRDefault="00A358B1" w:rsidP="00A358B1">
            <w:pPr>
              <w:spacing w:line="360" w:lineRule="auto"/>
              <w:rPr>
                <w:rFonts w:ascii="Arial" w:hAnsi="Arial" w:cs="Arial"/>
                <w:b/>
                <w:bCs/>
                <w:color w:val="000000"/>
                <w:lang w:val="es-ES" w:eastAsia="en-US"/>
              </w:rPr>
            </w:pPr>
            <w:r w:rsidRPr="00A358B1">
              <w:rPr>
                <w:rFonts w:ascii="Arial" w:hAnsi="Arial" w:cs="Arial"/>
                <w:b/>
                <w:bCs/>
                <w:color w:val="000000"/>
                <w:lang w:val="es-ES" w:eastAsia="en-US"/>
              </w:rPr>
              <w:t>Característica</w:t>
            </w:r>
          </w:p>
        </w:tc>
        <w:tc>
          <w:tcPr>
            <w:tcW w:w="554" w:type="dxa"/>
            <w:noWrap/>
            <w:vAlign w:val="center"/>
            <w:hideMark/>
          </w:tcPr>
          <w:p w:rsidR="00A358B1" w:rsidRPr="00A358B1" w:rsidRDefault="00A358B1" w:rsidP="00A358B1">
            <w:pPr>
              <w:spacing w:line="360" w:lineRule="auto"/>
              <w:rPr>
                <w:rFonts w:ascii="Arial" w:hAnsi="Arial" w:cs="Arial"/>
                <w:b/>
                <w:bCs/>
                <w:color w:val="000000"/>
                <w:lang w:val="es-ES" w:eastAsia="en-US"/>
              </w:rPr>
            </w:pPr>
            <w:r w:rsidRPr="00A358B1">
              <w:rPr>
                <w:rFonts w:ascii="Arial" w:hAnsi="Arial" w:cs="Arial"/>
                <w:b/>
                <w:bCs/>
                <w:color w:val="000000"/>
                <w:lang w:val="es-ES" w:eastAsia="en-US"/>
              </w:rPr>
              <w:t xml:space="preserve"> </w:t>
            </w:r>
          </w:p>
        </w:tc>
        <w:tc>
          <w:tcPr>
            <w:tcW w:w="1187" w:type="dxa"/>
            <w:tcBorders>
              <w:top w:val="nil"/>
              <w:left w:val="nil"/>
              <w:bottom w:val="single" w:sz="4" w:space="0" w:color="auto"/>
              <w:right w:val="nil"/>
            </w:tcBorders>
            <w:noWrap/>
            <w:vAlign w:val="center"/>
            <w:hideMark/>
          </w:tcPr>
          <w:p w:rsidR="00A358B1" w:rsidRPr="00A358B1" w:rsidRDefault="00A358B1" w:rsidP="00A358B1">
            <w:pPr>
              <w:spacing w:line="360" w:lineRule="auto"/>
              <w:rPr>
                <w:rFonts w:ascii="Arial" w:hAnsi="Arial" w:cs="Arial"/>
                <w:b/>
                <w:bCs/>
                <w:color w:val="000000"/>
                <w:lang w:val="es-ES" w:eastAsia="en-US"/>
              </w:rPr>
            </w:pPr>
            <w:r w:rsidRPr="00A358B1">
              <w:rPr>
                <w:rFonts w:ascii="Arial" w:hAnsi="Arial" w:cs="Arial"/>
                <w:b/>
                <w:bCs/>
                <w:color w:val="000000"/>
                <w:lang w:val="es-ES" w:eastAsia="en-US"/>
              </w:rPr>
              <w:t>n (%)</w:t>
            </w:r>
          </w:p>
        </w:tc>
      </w:tr>
      <w:tr w:rsidR="00A358B1" w:rsidRPr="00A358B1" w:rsidTr="00F900BB">
        <w:trPr>
          <w:trHeight w:val="290"/>
        </w:trPr>
        <w:tc>
          <w:tcPr>
            <w:tcW w:w="3119" w:type="dxa"/>
            <w:tcBorders>
              <w:top w:val="single" w:sz="4" w:space="0" w:color="auto"/>
              <w:left w:val="nil"/>
              <w:bottom w:val="nil"/>
              <w:right w:val="nil"/>
            </w:tcBorders>
            <w:noWrap/>
            <w:vAlign w:val="bottom"/>
            <w:hideMark/>
          </w:tcPr>
          <w:p w:rsidR="00A358B1" w:rsidRPr="00A358B1" w:rsidRDefault="00A358B1" w:rsidP="00A358B1">
            <w:pPr>
              <w:spacing w:line="360" w:lineRule="auto"/>
              <w:rPr>
                <w:rFonts w:ascii="Arial" w:hAnsi="Arial" w:cs="Arial"/>
                <w:color w:val="000000"/>
                <w:lang w:val="es-ES" w:eastAsia="en-US"/>
              </w:rPr>
            </w:pPr>
            <w:r w:rsidRPr="00A358B1">
              <w:rPr>
                <w:rFonts w:ascii="Arial" w:hAnsi="Arial" w:cs="Arial"/>
                <w:color w:val="000000"/>
                <w:lang w:val="es-ES" w:eastAsia="en-US"/>
              </w:rPr>
              <w:t>Edad al diagnóstico (Media)</w:t>
            </w:r>
          </w:p>
        </w:tc>
        <w:tc>
          <w:tcPr>
            <w:tcW w:w="554" w:type="dxa"/>
            <w:tcBorders>
              <w:top w:val="single" w:sz="4" w:space="0" w:color="auto"/>
              <w:left w:val="nil"/>
              <w:bottom w:val="nil"/>
              <w:right w:val="nil"/>
            </w:tcBorders>
            <w:noWrap/>
            <w:vAlign w:val="bottom"/>
            <w:hideMark/>
          </w:tcPr>
          <w:p w:rsidR="00A358B1" w:rsidRPr="00A358B1" w:rsidRDefault="00A358B1" w:rsidP="00A358B1">
            <w:pPr>
              <w:spacing w:line="360" w:lineRule="auto"/>
              <w:rPr>
                <w:rFonts w:ascii="Arial" w:hAnsi="Arial" w:cs="Arial"/>
                <w:color w:val="000000"/>
                <w:lang w:val="es-ES" w:eastAsia="en-US"/>
              </w:rPr>
            </w:pPr>
          </w:p>
        </w:tc>
        <w:tc>
          <w:tcPr>
            <w:tcW w:w="1187" w:type="dxa"/>
            <w:noWrap/>
            <w:vAlign w:val="bottom"/>
            <w:hideMark/>
          </w:tcPr>
          <w:p w:rsidR="00A358B1" w:rsidRPr="00A358B1" w:rsidRDefault="00A358B1" w:rsidP="00A358B1">
            <w:pPr>
              <w:spacing w:line="360" w:lineRule="auto"/>
              <w:rPr>
                <w:rFonts w:ascii="Arial" w:hAnsi="Arial" w:cs="Arial"/>
                <w:color w:val="000000"/>
                <w:lang w:val="es-ES" w:eastAsia="en-US"/>
              </w:rPr>
            </w:pPr>
            <w:r w:rsidRPr="00A358B1">
              <w:rPr>
                <w:rFonts w:ascii="Arial" w:hAnsi="Arial" w:cs="Arial"/>
                <w:color w:val="000000"/>
                <w:lang w:val="es-ES" w:eastAsia="en-US"/>
              </w:rPr>
              <w:t>58.7 ± 14.7</w:t>
            </w:r>
          </w:p>
        </w:tc>
      </w:tr>
      <w:tr w:rsidR="00A358B1" w:rsidRPr="00A358B1" w:rsidTr="00F900BB">
        <w:trPr>
          <w:trHeight w:val="290"/>
        </w:trPr>
        <w:tc>
          <w:tcPr>
            <w:tcW w:w="3119" w:type="dxa"/>
            <w:noWrap/>
            <w:vAlign w:val="bottom"/>
            <w:hideMark/>
          </w:tcPr>
          <w:p w:rsidR="00A358B1" w:rsidRPr="00A358B1" w:rsidRDefault="00A358B1" w:rsidP="00A358B1">
            <w:pPr>
              <w:spacing w:line="360" w:lineRule="auto"/>
              <w:rPr>
                <w:rFonts w:ascii="Arial" w:hAnsi="Arial" w:cs="Arial"/>
                <w:color w:val="000000"/>
                <w:lang w:val="es-ES" w:eastAsia="en-US"/>
              </w:rPr>
            </w:pPr>
            <w:r w:rsidRPr="00A358B1">
              <w:rPr>
                <w:rFonts w:ascii="Arial" w:hAnsi="Arial" w:cs="Arial"/>
                <w:color w:val="000000"/>
                <w:lang w:val="es-ES" w:eastAsia="en-US"/>
              </w:rPr>
              <w:t>Genero</w:t>
            </w:r>
          </w:p>
        </w:tc>
        <w:tc>
          <w:tcPr>
            <w:tcW w:w="554" w:type="dxa"/>
            <w:noWrap/>
            <w:vAlign w:val="bottom"/>
            <w:hideMark/>
          </w:tcPr>
          <w:p w:rsidR="00A358B1" w:rsidRPr="00A358B1" w:rsidRDefault="00A358B1" w:rsidP="00A358B1">
            <w:pPr>
              <w:spacing w:line="360" w:lineRule="auto"/>
              <w:rPr>
                <w:rFonts w:ascii="Arial" w:hAnsi="Arial" w:cs="Arial"/>
                <w:color w:val="000000"/>
                <w:lang w:val="es-ES" w:eastAsia="en-US"/>
              </w:rPr>
            </w:pPr>
          </w:p>
        </w:tc>
        <w:tc>
          <w:tcPr>
            <w:tcW w:w="1187" w:type="dxa"/>
            <w:noWrap/>
            <w:vAlign w:val="bottom"/>
            <w:hideMark/>
          </w:tcPr>
          <w:p w:rsidR="00A358B1" w:rsidRPr="00A358B1" w:rsidRDefault="00A358B1" w:rsidP="00A358B1">
            <w:pPr>
              <w:spacing w:line="360" w:lineRule="auto"/>
              <w:rPr>
                <w:rFonts w:ascii="Arial" w:eastAsiaTheme="minorHAnsi" w:hAnsi="Arial" w:cs="Arial"/>
              </w:rPr>
            </w:pPr>
          </w:p>
        </w:tc>
      </w:tr>
      <w:tr w:rsidR="00A358B1" w:rsidRPr="00A358B1" w:rsidTr="00F900BB">
        <w:trPr>
          <w:trHeight w:val="290"/>
        </w:trPr>
        <w:tc>
          <w:tcPr>
            <w:tcW w:w="3119" w:type="dxa"/>
            <w:noWrap/>
            <w:vAlign w:val="bottom"/>
            <w:hideMark/>
          </w:tcPr>
          <w:p w:rsidR="00A358B1" w:rsidRPr="00A358B1" w:rsidRDefault="00A358B1" w:rsidP="00A358B1">
            <w:pPr>
              <w:spacing w:line="360" w:lineRule="auto"/>
              <w:ind w:firstLineChars="200" w:firstLine="400"/>
              <w:rPr>
                <w:rFonts w:ascii="Arial" w:hAnsi="Arial" w:cs="Arial"/>
                <w:color w:val="000000"/>
                <w:lang w:val="es-ES" w:eastAsia="en-US"/>
              </w:rPr>
            </w:pPr>
            <w:r w:rsidRPr="00A358B1">
              <w:rPr>
                <w:rFonts w:ascii="Arial" w:hAnsi="Arial" w:cs="Arial"/>
                <w:color w:val="000000"/>
                <w:lang w:val="es-ES" w:eastAsia="en-US"/>
              </w:rPr>
              <w:lastRenderedPageBreak/>
              <w:t>Femenino</w:t>
            </w:r>
          </w:p>
        </w:tc>
        <w:tc>
          <w:tcPr>
            <w:tcW w:w="554" w:type="dxa"/>
            <w:noWrap/>
            <w:vAlign w:val="bottom"/>
            <w:hideMark/>
          </w:tcPr>
          <w:p w:rsidR="00A358B1" w:rsidRPr="00A358B1" w:rsidRDefault="00A358B1" w:rsidP="00A358B1">
            <w:pPr>
              <w:spacing w:line="360" w:lineRule="auto"/>
              <w:rPr>
                <w:rFonts w:ascii="Arial" w:hAnsi="Arial" w:cs="Arial"/>
                <w:color w:val="000000"/>
                <w:lang w:val="es-ES" w:eastAsia="en-US"/>
              </w:rPr>
            </w:pPr>
          </w:p>
        </w:tc>
        <w:tc>
          <w:tcPr>
            <w:tcW w:w="1187" w:type="dxa"/>
            <w:noWrap/>
            <w:vAlign w:val="bottom"/>
            <w:hideMark/>
          </w:tcPr>
          <w:p w:rsidR="00A358B1" w:rsidRPr="00A358B1" w:rsidRDefault="00A358B1" w:rsidP="00A358B1">
            <w:pPr>
              <w:spacing w:line="360" w:lineRule="auto"/>
              <w:rPr>
                <w:rFonts w:ascii="Arial" w:hAnsi="Arial" w:cs="Arial"/>
                <w:color w:val="000000"/>
                <w:lang w:val="es-ES" w:eastAsia="en-US"/>
              </w:rPr>
            </w:pPr>
            <w:r w:rsidRPr="00A358B1">
              <w:rPr>
                <w:rFonts w:ascii="Arial" w:hAnsi="Arial" w:cs="Arial"/>
                <w:color w:val="000000"/>
                <w:lang w:val="es-ES" w:eastAsia="en-US"/>
              </w:rPr>
              <w:t>132 (61,6)</w:t>
            </w:r>
          </w:p>
        </w:tc>
      </w:tr>
      <w:tr w:rsidR="00A358B1" w:rsidRPr="00A358B1" w:rsidTr="00F900BB">
        <w:trPr>
          <w:trHeight w:val="290"/>
        </w:trPr>
        <w:tc>
          <w:tcPr>
            <w:tcW w:w="3119" w:type="dxa"/>
            <w:noWrap/>
            <w:vAlign w:val="bottom"/>
            <w:hideMark/>
          </w:tcPr>
          <w:p w:rsidR="00A358B1" w:rsidRPr="00A358B1" w:rsidRDefault="00A358B1" w:rsidP="00A358B1">
            <w:pPr>
              <w:spacing w:line="360" w:lineRule="auto"/>
              <w:ind w:firstLineChars="200" w:firstLine="400"/>
              <w:rPr>
                <w:rFonts w:ascii="Arial" w:hAnsi="Arial" w:cs="Arial"/>
                <w:color w:val="000000"/>
                <w:lang w:val="es-ES" w:eastAsia="en-US"/>
              </w:rPr>
            </w:pPr>
            <w:r w:rsidRPr="00A358B1">
              <w:rPr>
                <w:rFonts w:ascii="Arial" w:hAnsi="Arial" w:cs="Arial"/>
                <w:color w:val="000000"/>
                <w:lang w:val="es-ES" w:eastAsia="en-US"/>
              </w:rPr>
              <w:t>Masculino</w:t>
            </w:r>
          </w:p>
        </w:tc>
        <w:tc>
          <w:tcPr>
            <w:tcW w:w="554" w:type="dxa"/>
            <w:noWrap/>
            <w:vAlign w:val="bottom"/>
            <w:hideMark/>
          </w:tcPr>
          <w:p w:rsidR="00A358B1" w:rsidRPr="00A358B1" w:rsidRDefault="00A358B1" w:rsidP="00A358B1">
            <w:pPr>
              <w:spacing w:line="360" w:lineRule="auto"/>
              <w:rPr>
                <w:rFonts w:ascii="Arial" w:hAnsi="Arial" w:cs="Arial"/>
                <w:color w:val="000000"/>
                <w:lang w:val="es-ES" w:eastAsia="en-US"/>
              </w:rPr>
            </w:pPr>
          </w:p>
        </w:tc>
        <w:tc>
          <w:tcPr>
            <w:tcW w:w="1187" w:type="dxa"/>
            <w:noWrap/>
            <w:vAlign w:val="bottom"/>
            <w:hideMark/>
          </w:tcPr>
          <w:p w:rsidR="00A358B1" w:rsidRPr="00A358B1" w:rsidRDefault="00A358B1" w:rsidP="00A358B1">
            <w:pPr>
              <w:spacing w:line="360" w:lineRule="auto"/>
              <w:rPr>
                <w:rFonts w:ascii="Arial" w:hAnsi="Arial" w:cs="Arial"/>
                <w:color w:val="000000"/>
                <w:lang w:val="es-ES" w:eastAsia="en-US"/>
              </w:rPr>
            </w:pPr>
            <w:r w:rsidRPr="00A358B1">
              <w:rPr>
                <w:rFonts w:ascii="Arial" w:hAnsi="Arial" w:cs="Arial"/>
                <w:color w:val="000000"/>
                <w:lang w:val="es-ES" w:eastAsia="en-US"/>
              </w:rPr>
              <w:t>82 (38,32)</w:t>
            </w:r>
          </w:p>
        </w:tc>
      </w:tr>
      <w:tr w:rsidR="00A358B1" w:rsidRPr="00A358B1" w:rsidTr="00F900BB">
        <w:trPr>
          <w:trHeight w:val="290"/>
        </w:trPr>
        <w:tc>
          <w:tcPr>
            <w:tcW w:w="3119" w:type="dxa"/>
            <w:noWrap/>
            <w:hideMark/>
          </w:tcPr>
          <w:p w:rsidR="00A358B1" w:rsidRPr="00A358B1" w:rsidRDefault="00A358B1" w:rsidP="00A358B1">
            <w:pPr>
              <w:spacing w:line="360" w:lineRule="auto"/>
              <w:rPr>
                <w:rFonts w:ascii="Arial" w:hAnsi="Arial" w:cs="Arial"/>
                <w:color w:val="000000"/>
                <w:lang w:val="es-ES" w:eastAsia="en-US"/>
              </w:rPr>
            </w:pPr>
            <w:r w:rsidRPr="00A358B1">
              <w:rPr>
                <w:rFonts w:ascii="Arial" w:hAnsi="Arial" w:cs="Arial"/>
                <w:color w:val="000000"/>
                <w:lang w:val="es-ES" w:eastAsia="en-US"/>
              </w:rPr>
              <w:t xml:space="preserve">Pacientes con </w:t>
            </w:r>
            <w:proofErr w:type="spellStart"/>
            <w:r w:rsidRPr="00A358B1">
              <w:rPr>
                <w:rFonts w:ascii="Arial" w:hAnsi="Arial" w:cs="Arial"/>
                <w:color w:val="000000"/>
                <w:lang w:val="es-ES" w:eastAsia="en-US"/>
              </w:rPr>
              <w:t>Genotipificación</w:t>
            </w:r>
            <w:proofErr w:type="spellEnd"/>
            <w:r w:rsidRPr="00A358B1">
              <w:rPr>
                <w:rFonts w:ascii="Arial" w:hAnsi="Arial" w:cs="Arial"/>
                <w:color w:val="000000"/>
                <w:lang w:val="es-ES" w:eastAsia="en-US"/>
              </w:rPr>
              <w:t xml:space="preserve">  </w:t>
            </w:r>
          </w:p>
        </w:tc>
        <w:tc>
          <w:tcPr>
            <w:tcW w:w="554" w:type="dxa"/>
            <w:noWrap/>
            <w:vAlign w:val="bottom"/>
            <w:hideMark/>
          </w:tcPr>
          <w:p w:rsidR="00A358B1" w:rsidRPr="00A358B1" w:rsidRDefault="00A358B1" w:rsidP="00A358B1">
            <w:pPr>
              <w:spacing w:line="360" w:lineRule="auto"/>
              <w:rPr>
                <w:rFonts w:ascii="Arial" w:hAnsi="Arial" w:cs="Arial"/>
                <w:color w:val="000000"/>
                <w:lang w:val="es-ES" w:eastAsia="en-US"/>
              </w:rPr>
            </w:pPr>
          </w:p>
        </w:tc>
        <w:tc>
          <w:tcPr>
            <w:tcW w:w="1187" w:type="dxa"/>
            <w:noWrap/>
            <w:vAlign w:val="bottom"/>
            <w:hideMark/>
          </w:tcPr>
          <w:p w:rsidR="00A358B1" w:rsidRPr="00A358B1" w:rsidRDefault="00A358B1" w:rsidP="00A358B1">
            <w:pPr>
              <w:spacing w:line="360" w:lineRule="auto"/>
              <w:rPr>
                <w:rFonts w:ascii="Arial" w:hAnsi="Arial" w:cs="Arial"/>
                <w:color w:val="000000"/>
                <w:lang w:val="es-ES" w:eastAsia="en-US"/>
              </w:rPr>
            </w:pPr>
            <w:r w:rsidRPr="00A358B1">
              <w:rPr>
                <w:rFonts w:ascii="Arial" w:hAnsi="Arial" w:cs="Arial"/>
                <w:color w:val="000000"/>
                <w:lang w:val="es-ES" w:eastAsia="en-US"/>
              </w:rPr>
              <w:t>58 (27,1)</w:t>
            </w:r>
          </w:p>
        </w:tc>
      </w:tr>
      <w:tr w:rsidR="00A358B1" w:rsidRPr="00A358B1" w:rsidTr="00F900BB">
        <w:trPr>
          <w:trHeight w:val="290"/>
        </w:trPr>
        <w:tc>
          <w:tcPr>
            <w:tcW w:w="3119" w:type="dxa"/>
            <w:noWrap/>
            <w:vAlign w:val="bottom"/>
            <w:hideMark/>
          </w:tcPr>
          <w:p w:rsidR="00A358B1" w:rsidRPr="00A358B1" w:rsidRDefault="00A358B1" w:rsidP="00A358B1">
            <w:pPr>
              <w:spacing w:line="360" w:lineRule="auto"/>
              <w:rPr>
                <w:rFonts w:ascii="Arial" w:hAnsi="Arial" w:cs="Arial"/>
                <w:color w:val="000000"/>
                <w:lang w:val="es-ES" w:eastAsia="en-US"/>
              </w:rPr>
            </w:pPr>
            <w:r w:rsidRPr="00A358B1">
              <w:rPr>
                <w:rFonts w:ascii="Arial" w:hAnsi="Arial" w:cs="Arial"/>
                <w:color w:val="000000"/>
                <w:lang w:val="es-ES" w:eastAsia="en-US"/>
              </w:rPr>
              <w:t>Cirrosis</w:t>
            </w:r>
          </w:p>
        </w:tc>
        <w:tc>
          <w:tcPr>
            <w:tcW w:w="554" w:type="dxa"/>
            <w:noWrap/>
            <w:vAlign w:val="bottom"/>
            <w:hideMark/>
          </w:tcPr>
          <w:p w:rsidR="00A358B1" w:rsidRPr="00A358B1" w:rsidRDefault="00A358B1" w:rsidP="00A358B1">
            <w:pPr>
              <w:spacing w:line="360" w:lineRule="auto"/>
              <w:rPr>
                <w:rFonts w:ascii="Arial" w:hAnsi="Arial" w:cs="Arial"/>
                <w:color w:val="000000"/>
                <w:lang w:val="es-ES" w:eastAsia="en-US"/>
              </w:rPr>
            </w:pPr>
          </w:p>
        </w:tc>
        <w:tc>
          <w:tcPr>
            <w:tcW w:w="1187" w:type="dxa"/>
            <w:noWrap/>
            <w:vAlign w:val="center"/>
            <w:hideMark/>
          </w:tcPr>
          <w:p w:rsidR="00A358B1" w:rsidRPr="00A358B1" w:rsidRDefault="00A358B1" w:rsidP="00A358B1">
            <w:pPr>
              <w:spacing w:line="360" w:lineRule="auto"/>
              <w:rPr>
                <w:rFonts w:ascii="Arial" w:hAnsi="Arial" w:cs="Arial"/>
                <w:color w:val="000000"/>
                <w:lang w:val="es-ES" w:eastAsia="en-US"/>
              </w:rPr>
            </w:pPr>
            <w:r w:rsidRPr="00A358B1">
              <w:rPr>
                <w:rFonts w:ascii="Arial" w:hAnsi="Arial" w:cs="Arial"/>
                <w:color w:val="000000"/>
                <w:lang w:val="es-ES" w:eastAsia="en-US"/>
              </w:rPr>
              <w:t>63 (29,4)</w:t>
            </w:r>
          </w:p>
        </w:tc>
      </w:tr>
      <w:tr w:rsidR="00A358B1" w:rsidRPr="00A358B1" w:rsidTr="00F900BB">
        <w:trPr>
          <w:trHeight w:val="290"/>
        </w:trPr>
        <w:tc>
          <w:tcPr>
            <w:tcW w:w="3119" w:type="dxa"/>
            <w:noWrap/>
            <w:vAlign w:val="bottom"/>
            <w:hideMark/>
          </w:tcPr>
          <w:p w:rsidR="00A358B1" w:rsidRPr="00A358B1" w:rsidRDefault="00A358B1" w:rsidP="00A358B1">
            <w:pPr>
              <w:spacing w:line="360" w:lineRule="auto"/>
              <w:rPr>
                <w:rFonts w:ascii="Arial" w:hAnsi="Arial" w:cs="Arial"/>
                <w:color w:val="000000"/>
                <w:lang w:val="es-ES" w:eastAsia="en-US"/>
              </w:rPr>
            </w:pPr>
            <w:r w:rsidRPr="00A358B1">
              <w:rPr>
                <w:rFonts w:ascii="Arial" w:hAnsi="Arial" w:cs="Arial"/>
                <w:color w:val="000000"/>
                <w:lang w:val="es-ES" w:eastAsia="en-US"/>
              </w:rPr>
              <w:t>Hepatocarcinoma</w:t>
            </w:r>
          </w:p>
        </w:tc>
        <w:tc>
          <w:tcPr>
            <w:tcW w:w="554" w:type="dxa"/>
            <w:noWrap/>
            <w:vAlign w:val="bottom"/>
            <w:hideMark/>
          </w:tcPr>
          <w:p w:rsidR="00A358B1" w:rsidRPr="00A358B1" w:rsidRDefault="00A358B1" w:rsidP="00A358B1">
            <w:pPr>
              <w:spacing w:line="360" w:lineRule="auto"/>
              <w:rPr>
                <w:rFonts w:ascii="Arial" w:hAnsi="Arial" w:cs="Arial"/>
                <w:color w:val="000000"/>
                <w:lang w:val="es-ES" w:eastAsia="en-US"/>
              </w:rPr>
            </w:pPr>
          </w:p>
        </w:tc>
        <w:tc>
          <w:tcPr>
            <w:tcW w:w="1187" w:type="dxa"/>
            <w:noWrap/>
            <w:vAlign w:val="center"/>
            <w:hideMark/>
          </w:tcPr>
          <w:p w:rsidR="00A358B1" w:rsidRPr="00A358B1" w:rsidRDefault="00A358B1" w:rsidP="00A358B1">
            <w:pPr>
              <w:spacing w:line="360" w:lineRule="auto"/>
              <w:rPr>
                <w:rFonts w:ascii="Arial" w:hAnsi="Arial" w:cs="Arial"/>
                <w:color w:val="000000"/>
                <w:lang w:val="es-ES" w:eastAsia="en-US"/>
              </w:rPr>
            </w:pPr>
            <w:r w:rsidRPr="00A358B1">
              <w:rPr>
                <w:rFonts w:ascii="Arial" w:hAnsi="Arial" w:cs="Arial"/>
                <w:color w:val="000000"/>
                <w:lang w:val="es-ES" w:eastAsia="en-US"/>
              </w:rPr>
              <w:t>7 (3,2)</w:t>
            </w:r>
          </w:p>
        </w:tc>
      </w:tr>
      <w:tr w:rsidR="00A358B1" w:rsidRPr="00A358B1" w:rsidTr="00F900BB">
        <w:trPr>
          <w:trHeight w:val="290"/>
        </w:trPr>
        <w:tc>
          <w:tcPr>
            <w:tcW w:w="3119" w:type="dxa"/>
            <w:noWrap/>
            <w:vAlign w:val="bottom"/>
            <w:hideMark/>
          </w:tcPr>
          <w:p w:rsidR="00A358B1" w:rsidRPr="00A358B1" w:rsidRDefault="00A358B1" w:rsidP="00A358B1">
            <w:pPr>
              <w:spacing w:line="360" w:lineRule="auto"/>
              <w:rPr>
                <w:rFonts w:ascii="Arial" w:hAnsi="Arial" w:cs="Arial"/>
                <w:color w:val="000000"/>
                <w:lang w:val="es-ES" w:eastAsia="en-US"/>
              </w:rPr>
            </w:pPr>
            <w:r w:rsidRPr="00A358B1">
              <w:rPr>
                <w:rFonts w:ascii="Arial" w:hAnsi="Arial" w:cs="Arial"/>
                <w:color w:val="000000"/>
                <w:lang w:val="es-ES" w:eastAsia="en-US"/>
              </w:rPr>
              <w:t xml:space="preserve">Coinfección con VHB </w:t>
            </w:r>
          </w:p>
        </w:tc>
        <w:tc>
          <w:tcPr>
            <w:tcW w:w="554" w:type="dxa"/>
            <w:noWrap/>
            <w:vAlign w:val="bottom"/>
            <w:hideMark/>
          </w:tcPr>
          <w:p w:rsidR="00A358B1" w:rsidRPr="00A358B1" w:rsidRDefault="00A358B1" w:rsidP="00A358B1">
            <w:pPr>
              <w:spacing w:line="360" w:lineRule="auto"/>
              <w:rPr>
                <w:rFonts w:ascii="Arial" w:hAnsi="Arial" w:cs="Arial"/>
                <w:color w:val="000000"/>
                <w:lang w:val="es-ES" w:eastAsia="en-US"/>
              </w:rPr>
            </w:pPr>
          </w:p>
        </w:tc>
        <w:tc>
          <w:tcPr>
            <w:tcW w:w="1187" w:type="dxa"/>
            <w:noWrap/>
            <w:vAlign w:val="center"/>
            <w:hideMark/>
          </w:tcPr>
          <w:p w:rsidR="00A358B1" w:rsidRPr="00A358B1" w:rsidRDefault="00A358B1" w:rsidP="00A358B1">
            <w:pPr>
              <w:spacing w:line="360" w:lineRule="auto"/>
              <w:rPr>
                <w:rFonts w:ascii="Arial" w:hAnsi="Arial" w:cs="Arial"/>
                <w:color w:val="000000"/>
                <w:lang w:val="es-ES" w:eastAsia="en-US"/>
              </w:rPr>
            </w:pPr>
            <w:r w:rsidRPr="00A358B1">
              <w:rPr>
                <w:rFonts w:ascii="Arial" w:hAnsi="Arial" w:cs="Arial"/>
                <w:color w:val="000000"/>
                <w:lang w:val="es-ES" w:eastAsia="en-US"/>
              </w:rPr>
              <w:t>4 (1,8)</w:t>
            </w:r>
          </w:p>
        </w:tc>
      </w:tr>
      <w:tr w:rsidR="00A358B1" w:rsidRPr="00A358B1" w:rsidTr="00F900BB">
        <w:trPr>
          <w:trHeight w:val="290"/>
        </w:trPr>
        <w:tc>
          <w:tcPr>
            <w:tcW w:w="3119" w:type="dxa"/>
            <w:tcBorders>
              <w:top w:val="nil"/>
              <w:left w:val="nil"/>
              <w:bottom w:val="single" w:sz="4" w:space="0" w:color="auto"/>
              <w:right w:val="nil"/>
            </w:tcBorders>
            <w:noWrap/>
            <w:vAlign w:val="bottom"/>
            <w:hideMark/>
          </w:tcPr>
          <w:p w:rsidR="00A358B1" w:rsidRPr="00A358B1" w:rsidRDefault="00A358B1" w:rsidP="00A358B1">
            <w:pPr>
              <w:spacing w:line="360" w:lineRule="auto"/>
              <w:rPr>
                <w:rFonts w:ascii="Arial" w:hAnsi="Arial" w:cs="Arial"/>
                <w:color w:val="000000"/>
                <w:lang w:val="es-ES" w:eastAsia="en-US"/>
              </w:rPr>
            </w:pPr>
            <w:r w:rsidRPr="00A358B1">
              <w:rPr>
                <w:rFonts w:ascii="Arial" w:hAnsi="Arial" w:cs="Arial"/>
                <w:color w:val="000000"/>
                <w:lang w:val="es-ES" w:eastAsia="en-US"/>
              </w:rPr>
              <w:t>Coinfección con VIH</w:t>
            </w:r>
          </w:p>
        </w:tc>
        <w:tc>
          <w:tcPr>
            <w:tcW w:w="554" w:type="dxa"/>
            <w:tcBorders>
              <w:top w:val="nil"/>
              <w:left w:val="nil"/>
              <w:bottom w:val="single" w:sz="4" w:space="0" w:color="auto"/>
              <w:right w:val="nil"/>
            </w:tcBorders>
            <w:noWrap/>
            <w:vAlign w:val="bottom"/>
            <w:hideMark/>
          </w:tcPr>
          <w:p w:rsidR="00A358B1" w:rsidRPr="00A358B1" w:rsidRDefault="00A358B1" w:rsidP="00A358B1">
            <w:pPr>
              <w:spacing w:line="360" w:lineRule="auto"/>
              <w:rPr>
                <w:rFonts w:ascii="Arial" w:hAnsi="Arial" w:cs="Arial"/>
                <w:color w:val="000000"/>
                <w:lang w:val="es-ES" w:eastAsia="en-US"/>
              </w:rPr>
            </w:pPr>
          </w:p>
        </w:tc>
        <w:tc>
          <w:tcPr>
            <w:tcW w:w="1187" w:type="dxa"/>
            <w:tcBorders>
              <w:top w:val="nil"/>
              <w:left w:val="nil"/>
              <w:bottom w:val="single" w:sz="4" w:space="0" w:color="auto"/>
              <w:right w:val="nil"/>
            </w:tcBorders>
            <w:noWrap/>
            <w:vAlign w:val="center"/>
            <w:hideMark/>
          </w:tcPr>
          <w:p w:rsidR="00A358B1" w:rsidRPr="00A358B1" w:rsidRDefault="00A358B1" w:rsidP="00A358B1">
            <w:pPr>
              <w:spacing w:line="360" w:lineRule="auto"/>
              <w:rPr>
                <w:rFonts w:ascii="Arial" w:hAnsi="Arial" w:cs="Arial"/>
                <w:color w:val="000000"/>
                <w:lang w:val="es-ES" w:eastAsia="en-US"/>
              </w:rPr>
            </w:pPr>
            <w:r w:rsidRPr="00A358B1">
              <w:rPr>
                <w:rFonts w:ascii="Arial" w:hAnsi="Arial" w:cs="Arial"/>
                <w:color w:val="000000"/>
                <w:lang w:val="es-ES" w:eastAsia="en-US"/>
              </w:rPr>
              <w:t>11 (5,1)</w:t>
            </w:r>
          </w:p>
        </w:tc>
      </w:tr>
    </w:tbl>
    <w:p w:rsidR="00A358B1" w:rsidRPr="00A358B1" w:rsidRDefault="00A358B1" w:rsidP="00A358B1">
      <w:pPr>
        <w:spacing w:line="360" w:lineRule="auto"/>
        <w:rPr>
          <w:rFonts w:ascii="Arial" w:hAnsi="Arial" w:cs="Arial"/>
          <w:lang w:val="es-ES"/>
        </w:rPr>
      </w:pPr>
      <w:r w:rsidRPr="00A358B1">
        <w:rPr>
          <w:rFonts w:ascii="Arial" w:hAnsi="Arial" w:cs="Arial"/>
          <w:lang w:val="es-ES"/>
        </w:rPr>
        <w:t>VIH (</w:t>
      </w:r>
      <w:r w:rsidRPr="00A358B1">
        <w:rPr>
          <w:rFonts w:ascii="Arial" w:hAnsi="Arial" w:cs="Arial"/>
          <w:i/>
          <w:lang w:val="es-ES"/>
        </w:rPr>
        <w:t>Virus de la inmunodeficiencia humana</w:t>
      </w:r>
      <w:r w:rsidRPr="00A358B1">
        <w:rPr>
          <w:rFonts w:ascii="Arial" w:hAnsi="Arial" w:cs="Arial"/>
          <w:lang w:val="es-ES"/>
        </w:rPr>
        <w:t>), VHB (</w:t>
      </w:r>
      <w:r w:rsidRPr="00A358B1">
        <w:rPr>
          <w:rFonts w:ascii="Arial" w:hAnsi="Arial" w:cs="Arial"/>
          <w:i/>
          <w:lang w:val="es-ES"/>
        </w:rPr>
        <w:t>Virus de la hepatitis B</w:t>
      </w:r>
      <w:r w:rsidRPr="00A358B1">
        <w:rPr>
          <w:rFonts w:ascii="Arial" w:hAnsi="Arial" w:cs="Arial"/>
          <w:lang w:val="es-ES"/>
        </w:rPr>
        <w:t>).</w:t>
      </w:r>
    </w:p>
    <w:p w:rsidR="00A358B1" w:rsidRPr="00A358B1" w:rsidRDefault="00A358B1" w:rsidP="00A358B1">
      <w:pPr>
        <w:spacing w:before="100" w:beforeAutospacing="1" w:after="100" w:afterAutospacing="1" w:line="360" w:lineRule="auto"/>
        <w:rPr>
          <w:rFonts w:ascii="Arial" w:hAnsi="Arial" w:cs="Arial"/>
          <w:lang w:val="es-ES"/>
        </w:rPr>
      </w:pPr>
    </w:p>
    <w:p w:rsidR="00A358B1" w:rsidRPr="00A358B1" w:rsidRDefault="00A358B1" w:rsidP="00A358B1">
      <w:pPr>
        <w:spacing w:line="360" w:lineRule="auto"/>
        <w:rPr>
          <w:rFonts w:ascii="Arial" w:hAnsi="Arial" w:cs="Arial"/>
          <w:lang w:val="es-ES"/>
        </w:rPr>
      </w:pPr>
    </w:p>
    <w:p w:rsidR="00A358B1" w:rsidRPr="00A358B1" w:rsidRDefault="00A358B1" w:rsidP="00A358B1">
      <w:pPr>
        <w:spacing w:line="360" w:lineRule="auto"/>
        <w:rPr>
          <w:rFonts w:ascii="Arial" w:hAnsi="Arial" w:cs="Arial"/>
          <w:color w:val="000000" w:themeColor="text1"/>
          <w:lang w:val="es-ES"/>
        </w:rPr>
      </w:pPr>
      <w:r w:rsidRPr="00A358B1">
        <w:rPr>
          <w:rFonts w:ascii="Arial" w:hAnsi="Arial" w:cs="Arial"/>
          <w:b/>
          <w:color w:val="000000" w:themeColor="text1"/>
          <w:lang w:val="es-ES"/>
        </w:rPr>
        <w:t>Tabla 2</w:t>
      </w:r>
      <w:r w:rsidRPr="00A358B1">
        <w:rPr>
          <w:rFonts w:ascii="Arial" w:hAnsi="Arial" w:cs="Arial"/>
          <w:color w:val="000000" w:themeColor="text1"/>
          <w:lang w:val="es-ES"/>
        </w:rPr>
        <w:t>. Principales antecedentes de los pacientes con hepatitis C</w:t>
      </w:r>
    </w:p>
    <w:p w:rsidR="00A358B1" w:rsidRPr="00A358B1" w:rsidRDefault="00A358B1" w:rsidP="00A358B1">
      <w:pPr>
        <w:spacing w:line="360" w:lineRule="auto"/>
        <w:rPr>
          <w:rFonts w:ascii="Arial" w:hAnsi="Arial" w:cs="Arial"/>
          <w:color w:val="000000" w:themeColor="text1"/>
          <w:lang w:val="es-ES"/>
        </w:rPr>
      </w:pPr>
    </w:p>
    <w:tbl>
      <w:tblPr>
        <w:tblW w:w="6025" w:type="dxa"/>
        <w:tblCellMar>
          <w:left w:w="70" w:type="dxa"/>
          <w:right w:w="70" w:type="dxa"/>
        </w:tblCellMar>
        <w:tblLook w:val="04A0" w:firstRow="1" w:lastRow="0" w:firstColumn="1" w:lastColumn="0" w:noHBand="0" w:noVBand="1"/>
      </w:tblPr>
      <w:tblGrid>
        <w:gridCol w:w="3465"/>
        <w:gridCol w:w="1100"/>
        <w:gridCol w:w="1460"/>
      </w:tblGrid>
      <w:tr w:rsidR="00A358B1" w:rsidRPr="00A358B1" w:rsidTr="00F900BB">
        <w:trPr>
          <w:trHeight w:val="20"/>
        </w:trPr>
        <w:tc>
          <w:tcPr>
            <w:tcW w:w="3465" w:type="dxa"/>
            <w:noWrap/>
            <w:vAlign w:val="center"/>
            <w:hideMark/>
          </w:tcPr>
          <w:p w:rsidR="00A358B1" w:rsidRPr="00A358B1" w:rsidRDefault="00A358B1" w:rsidP="00A358B1">
            <w:pPr>
              <w:spacing w:line="360" w:lineRule="auto"/>
              <w:rPr>
                <w:rFonts w:ascii="Arial" w:hAnsi="Arial" w:cs="Arial"/>
                <w:b/>
                <w:bCs/>
                <w:color w:val="000000" w:themeColor="text1"/>
                <w:lang w:val="es-ES" w:eastAsia="en-US"/>
              </w:rPr>
            </w:pPr>
            <w:r w:rsidRPr="00A358B1">
              <w:rPr>
                <w:rFonts w:ascii="Arial" w:hAnsi="Arial" w:cs="Arial"/>
                <w:b/>
                <w:bCs/>
                <w:color w:val="000000" w:themeColor="text1"/>
                <w:lang w:val="es-ES" w:eastAsia="en-US"/>
              </w:rPr>
              <w:t xml:space="preserve">Antecedentes </w:t>
            </w:r>
          </w:p>
        </w:tc>
        <w:tc>
          <w:tcPr>
            <w:tcW w:w="1100" w:type="dxa"/>
            <w:tcBorders>
              <w:top w:val="nil"/>
              <w:left w:val="nil"/>
              <w:bottom w:val="single" w:sz="8" w:space="0" w:color="auto"/>
              <w:right w:val="nil"/>
            </w:tcBorders>
            <w:noWrap/>
            <w:vAlign w:val="center"/>
            <w:hideMark/>
          </w:tcPr>
          <w:p w:rsidR="00A358B1" w:rsidRPr="00A358B1" w:rsidRDefault="00A358B1" w:rsidP="00A358B1">
            <w:pPr>
              <w:spacing w:line="360" w:lineRule="auto"/>
              <w:rPr>
                <w:rFonts w:ascii="Arial" w:hAnsi="Arial" w:cs="Arial"/>
                <w:b/>
                <w:bCs/>
                <w:color w:val="000000" w:themeColor="text1"/>
                <w:lang w:val="es-ES" w:eastAsia="en-US"/>
              </w:rPr>
            </w:pPr>
            <w:r w:rsidRPr="00A358B1">
              <w:rPr>
                <w:rFonts w:ascii="Arial" w:hAnsi="Arial" w:cs="Arial"/>
                <w:b/>
                <w:bCs/>
                <w:color w:val="000000" w:themeColor="text1"/>
                <w:lang w:val="es-ES" w:eastAsia="en-US"/>
              </w:rPr>
              <w:t xml:space="preserve"> </w:t>
            </w:r>
          </w:p>
        </w:tc>
        <w:tc>
          <w:tcPr>
            <w:tcW w:w="1460" w:type="dxa"/>
            <w:tcBorders>
              <w:top w:val="nil"/>
              <w:left w:val="nil"/>
              <w:bottom w:val="single" w:sz="8" w:space="0" w:color="auto"/>
              <w:right w:val="nil"/>
            </w:tcBorders>
            <w:noWrap/>
            <w:vAlign w:val="center"/>
            <w:hideMark/>
          </w:tcPr>
          <w:p w:rsidR="00A358B1" w:rsidRPr="00A358B1" w:rsidRDefault="00A358B1" w:rsidP="00A358B1">
            <w:pPr>
              <w:spacing w:line="360" w:lineRule="auto"/>
              <w:rPr>
                <w:rFonts w:ascii="Arial" w:hAnsi="Arial" w:cs="Arial"/>
                <w:b/>
                <w:bCs/>
                <w:color w:val="000000" w:themeColor="text1"/>
                <w:lang w:val="es-ES" w:eastAsia="en-US"/>
              </w:rPr>
            </w:pPr>
            <w:r w:rsidRPr="00A358B1">
              <w:rPr>
                <w:rFonts w:ascii="Arial" w:hAnsi="Arial" w:cs="Arial"/>
                <w:b/>
                <w:bCs/>
                <w:color w:val="000000" w:themeColor="text1"/>
                <w:lang w:val="es-ES" w:eastAsia="en-US"/>
              </w:rPr>
              <w:t>n (%)</w:t>
            </w:r>
          </w:p>
        </w:tc>
      </w:tr>
      <w:tr w:rsidR="00A358B1" w:rsidRPr="00A358B1" w:rsidTr="00F900BB">
        <w:trPr>
          <w:trHeight w:val="20"/>
        </w:trPr>
        <w:tc>
          <w:tcPr>
            <w:tcW w:w="3465" w:type="dxa"/>
            <w:tcBorders>
              <w:top w:val="single" w:sz="8" w:space="0" w:color="auto"/>
              <w:left w:val="nil"/>
              <w:bottom w:val="nil"/>
              <w:right w:val="nil"/>
            </w:tcBorders>
            <w:noWrap/>
            <w:vAlign w:val="center"/>
            <w:hideMark/>
          </w:tcPr>
          <w:p w:rsidR="00A358B1" w:rsidRPr="00A358B1" w:rsidRDefault="00A358B1" w:rsidP="00A358B1">
            <w:pPr>
              <w:spacing w:line="360" w:lineRule="auto"/>
              <w:rPr>
                <w:rFonts w:ascii="Arial" w:hAnsi="Arial" w:cs="Arial"/>
                <w:color w:val="000000" w:themeColor="text1"/>
                <w:lang w:val="es-ES" w:eastAsia="en-US"/>
              </w:rPr>
            </w:pPr>
            <w:r w:rsidRPr="00A358B1">
              <w:rPr>
                <w:rFonts w:ascii="Arial" w:hAnsi="Arial" w:cs="Arial"/>
                <w:color w:val="000000" w:themeColor="text1"/>
                <w:lang w:val="es-ES" w:eastAsia="en-US"/>
              </w:rPr>
              <w:t>Quirúrgicos</w:t>
            </w:r>
          </w:p>
        </w:tc>
        <w:tc>
          <w:tcPr>
            <w:tcW w:w="1100" w:type="dxa"/>
            <w:noWrap/>
            <w:vAlign w:val="bottom"/>
            <w:hideMark/>
          </w:tcPr>
          <w:p w:rsidR="00A358B1" w:rsidRPr="00A358B1" w:rsidRDefault="00A358B1" w:rsidP="00A358B1">
            <w:pPr>
              <w:spacing w:line="360" w:lineRule="auto"/>
              <w:jc w:val="right"/>
              <w:rPr>
                <w:rFonts w:ascii="Arial" w:hAnsi="Arial" w:cs="Arial"/>
                <w:color w:val="000000" w:themeColor="text1"/>
                <w:lang w:val="es-ES" w:eastAsia="en-US"/>
              </w:rPr>
            </w:pPr>
            <w:r w:rsidRPr="00A358B1">
              <w:rPr>
                <w:rFonts w:ascii="Arial" w:hAnsi="Arial" w:cs="Arial"/>
                <w:color w:val="000000" w:themeColor="text1"/>
                <w:lang w:val="es-ES" w:eastAsia="en-US"/>
              </w:rPr>
              <w:t>287</w:t>
            </w:r>
          </w:p>
        </w:tc>
        <w:tc>
          <w:tcPr>
            <w:tcW w:w="1460" w:type="dxa"/>
            <w:noWrap/>
            <w:vAlign w:val="center"/>
            <w:hideMark/>
          </w:tcPr>
          <w:p w:rsidR="00A358B1" w:rsidRPr="00A358B1" w:rsidRDefault="00A358B1" w:rsidP="00A358B1">
            <w:pPr>
              <w:spacing w:line="360" w:lineRule="auto"/>
              <w:rPr>
                <w:rFonts w:ascii="Arial" w:hAnsi="Arial" w:cs="Arial"/>
                <w:color w:val="000000" w:themeColor="text1"/>
                <w:lang w:val="es-ES" w:eastAsia="en-US"/>
              </w:rPr>
            </w:pPr>
            <w:r w:rsidRPr="00A358B1">
              <w:rPr>
                <w:rFonts w:ascii="Arial" w:hAnsi="Arial" w:cs="Arial"/>
                <w:color w:val="000000" w:themeColor="text1"/>
                <w:lang w:val="es-ES" w:eastAsia="en-US"/>
              </w:rPr>
              <w:t> </w:t>
            </w:r>
          </w:p>
        </w:tc>
      </w:tr>
      <w:tr w:rsidR="00A358B1" w:rsidRPr="00A358B1" w:rsidTr="00F900BB">
        <w:trPr>
          <w:trHeight w:val="20"/>
        </w:trPr>
        <w:tc>
          <w:tcPr>
            <w:tcW w:w="3465" w:type="dxa"/>
            <w:noWrap/>
            <w:vAlign w:val="center"/>
            <w:hideMark/>
          </w:tcPr>
          <w:p w:rsidR="00A358B1" w:rsidRPr="00A358B1" w:rsidRDefault="00A358B1" w:rsidP="00A358B1">
            <w:pPr>
              <w:spacing w:line="360" w:lineRule="auto"/>
              <w:ind w:firstLineChars="200" w:firstLine="400"/>
              <w:rPr>
                <w:rFonts w:ascii="Arial" w:hAnsi="Arial" w:cs="Arial"/>
                <w:color w:val="000000" w:themeColor="text1"/>
                <w:lang w:val="es-ES" w:eastAsia="en-US"/>
              </w:rPr>
            </w:pPr>
            <w:r w:rsidRPr="00A358B1">
              <w:rPr>
                <w:rFonts w:ascii="Arial" w:hAnsi="Arial" w:cs="Arial"/>
                <w:color w:val="000000" w:themeColor="text1"/>
                <w:lang w:val="es-ES" w:eastAsia="en-US"/>
              </w:rPr>
              <w:t>Cirugías Abdominales</w:t>
            </w:r>
          </w:p>
        </w:tc>
        <w:tc>
          <w:tcPr>
            <w:tcW w:w="1100" w:type="dxa"/>
            <w:noWrap/>
            <w:vAlign w:val="bottom"/>
            <w:hideMark/>
          </w:tcPr>
          <w:p w:rsidR="00A358B1" w:rsidRPr="00A358B1" w:rsidRDefault="00A358B1" w:rsidP="00A358B1">
            <w:pPr>
              <w:spacing w:line="360" w:lineRule="auto"/>
              <w:rPr>
                <w:rFonts w:ascii="Arial" w:hAnsi="Arial" w:cs="Arial"/>
                <w:color w:val="000000" w:themeColor="text1"/>
                <w:lang w:val="es-ES" w:eastAsia="en-US"/>
              </w:rPr>
            </w:pPr>
          </w:p>
        </w:tc>
        <w:tc>
          <w:tcPr>
            <w:tcW w:w="1460" w:type="dxa"/>
            <w:noWrap/>
            <w:vAlign w:val="center"/>
            <w:hideMark/>
          </w:tcPr>
          <w:p w:rsidR="00A358B1" w:rsidRPr="00A358B1" w:rsidRDefault="00A358B1" w:rsidP="00A358B1">
            <w:pPr>
              <w:spacing w:line="360" w:lineRule="auto"/>
              <w:jc w:val="right"/>
              <w:rPr>
                <w:rFonts w:ascii="Arial" w:hAnsi="Arial" w:cs="Arial"/>
                <w:color w:val="000000" w:themeColor="text1"/>
                <w:lang w:val="es-ES" w:eastAsia="en-US"/>
              </w:rPr>
            </w:pPr>
            <w:r w:rsidRPr="00A358B1">
              <w:rPr>
                <w:rFonts w:ascii="Arial" w:hAnsi="Arial" w:cs="Arial"/>
                <w:color w:val="000000" w:themeColor="text1"/>
                <w:lang w:val="es-ES" w:eastAsia="en-US"/>
              </w:rPr>
              <w:t>114 (39,7)</w:t>
            </w:r>
          </w:p>
        </w:tc>
      </w:tr>
      <w:tr w:rsidR="00A358B1" w:rsidRPr="00A358B1" w:rsidTr="00F900BB">
        <w:trPr>
          <w:trHeight w:val="20"/>
        </w:trPr>
        <w:tc>
          <w:tcPr>
            <w:tcW w:w="3465" w:type="dxa"/>
            <w:noWrap/>
            <w:vAlign w:val="center"/>
            <w:hideMark/>
          </w:tcPr>
          <w:p w:rsidR="00A358B1" w:rsidRPr="00A358B1" w:rsidRDefault="00A358B1" w:rsidP="00A358B1">
            <w:pPr>
              <w:spacing w:line="360" w:lineRule="auto"/>
              <w:ind w:firstLineChars="200" w:firstLine="400"/>
              <w:rPr>
                <w:rFonts w:ascii="Arial" w:hAnsi="Arial" w:cs="Arial"/>
                <w:color w:val="000000" w:themeColor="text1"/>
                <w:lang w:val="es-ES" w:eastAsia="en-US"/>
              </w:rPr>
            </w:pPr>
            <w:r w:rsidRPr="00A358B1">
              <w:rPr>
                <w:rFonts w:ascii="Arial" w:hAnsi="Arial" w:cs="Arial"/>
                <w:color w:val="000000" w:themeColor="text1"/>
                <w:lang w:val="es-ES" w:eastAsia="en-US"/>
              </w:rPr>
              <w:t>Cirugías Ginecológicas</w:t>
            </w:r>
          </w:p>
        </w:tc>
        <w:tc>
          <w:tcPr>
            <w:tcW w:w="1100" w:type="dxa"/>
            <w:noWrap/>
            <w:vAlign w:val="bottom"/>
            <w:hideMark/>
          </w:tcPr>
          <w:p w:rsidR="00A358B1" w:rsidRPr="00A358B1" w:rsidRDefault="00A358B1" w:rsidP="00A358B1">
            <w:pPr>
              <w:spacing w:line="360" w:lineRule="auto"/>
              <w:rPr>
                <w:rFonts w:ascii="Arial" w:hAnsi="Arial" w:cs="Arial"/>
                <w:color w:val="000000" w:themeColor="text1"/>
                <w:lang w:val="es-ES" w:eastAsia="en-US"/>
              </w:rPr>
            </w:pPr>
          </w:p>
        </w:tc>
        <w:tc>
          <w:tcPr>
            <w:tcW w:w="1460" w:type="dxa"/>
            <w:noWrap/>
            <w:vAlign w:val="center"/>
            <w:hideMark/>
          </w:tcPr>
          <w:p w:rsidR="00A358B1" w:rsidRPr="00A358B1" w:rsidRDefault="00A358B1" w:rsidP="00A358B1">
            <w:pPr>
              <w:spacing w:line="360" w:lineRule="auto"/>
              <w:jc w:val="right"/>
              <w:rPr>
                <w:rFonts w:ascii="Arial" w:hAnsi="Arial" w:cs="Arial"/>
                <w:color w:val="000000" w:themeColor="text1"/>
                <w:lang w:val="es-ES" w:eastAsia="en-US"/>
              </w:rPr>
            </w:pPr>
            <w:r w:rsidRPr="00A358B1">
              <w:rPr>
                <w:rFonts w:ascii="Arial" w:hAnsi="Arial" w:cs="Arial"/>
                <w:color w:val="000000" w:themeColor="text1"/>
                <w:lang w:val="es-ES" w:eastAsia="en-US"/>
              </w:rPr>
              <w:t>81 (28,2)</w:t>
            </w:r>
          </w:p>
        </w:tc>
      </w:tr>
      <w:tr w:rsidR="00A358B1" w:rsidRPr="00A358B1" w:rsidTr="00F900BB">
        <w:trPr>
          <w:trHeight w:val="20"/>
        </w:trPr>
        <w:tc>
          <w:tcPr>
            <w:tcW w:w="3465" w:type="dxa"/>
            <w:noWrap/>
            <w:vAlign w:val="center"/>
            <w:hideMark/>
          </w:tcPr>
          <w:p w:rsidR="00A358B1" w:rsidRPr="00A358B1" w:rsidRDefault="00A358B1" w:rsidP="00A358B1">
            <w:pPr>
              <w:spacing w:line="360" w:lineRule="auto"/>
              <w:ind w:firstLineChars="200" w:firstLine="400"/>
              <w:rPr>
                <w:rFonts w:ascii="Arial" w:hAnsi="Arial" w:cs="Arial"/>
                <w:color w:val="000000" w:themeColor="text1"/>
                <w:lang w:val="es-ES" w:eastAsia="en-US"/>
              </w:rPr>
            </w:pPr>
            <w:r w:rsidRPr="00A358B1">
              <w:rPr>
                <w:rFonts w:ascii="Arial" w:hAnsi="Arial" w:cs="Arial"/>
                <w:color w:val="000000" w:themeColor="text1"/>
                <w:lang w:val="es-ES" w:eastAsia="en-US"/>
              </w:rPr>
              <w:t>Cirugías Ortopédicas</w:t>
            </w:r>
          </w:p>
        </w:tc>
        <w:tc>
          <w:tcPr>
            <w:tcW w:w="1100" w:type="dxa"/>
            <w:noWrap/>
            <w:vAlign w:val="bottom"/>
            <w:hideMark/>
          </w:tcPr>
          <w:p w:rsidR="00A358B1" w:rsidRPr="00A358B1" w:rsidRDefault="00A358B1" w:rsidP="00A358B1">
            <w:pPr>
              <w:spacing w:line="360" w:lineRule="auto"/>
              <w:rPr>
                <w:rFonts w:ascii="Arial" w:hAnsi="Arial" w:cs="Arial"/>
                <w:color w:val="000000" w:themeColor="text1"/>
                <w:lang w:val="es-ES" w:eastAsia="en-US"/>
              </w:rPr>
            </w:pPr>
          </w:p>
        </w:tc>
        <w:tc>
          <w:tcPr>
            <w:tcW w:w="1460" w:type="dxa"/>
            <w:noWrap/>
            <w:vAlign w:val="center"/>
            <w:hideMark/>
          </w:tcPr>
          <w:p w:rsidR="00A358B1" w:rsidRPr="00A358B1" w:rsidRDefault="00A358B1" w:rsidP="00A358B1">
            <w:pPr>
              <w:spacing w:line="360" w:lineRule="auto"/>
              <w:jc w:val="right"/>
              <w:rPr>
                <w:rFonts w:ascii="Arial" w:hAnsi="Arial" w:cs="Arial"/>
                <w:color w:val="000000" w:themeColor="text1"/>
                <w:lang w:val="es-ES" w:eastAsia="en-US"/>
              </w:rPr>
            </w:pPr>
            <w:r w:rsidRPr="00A358B1">
              <w:rPr>
                <w:rFonts w:ascii="Arial" w:hAnsi="Arial" w:cs="Arial"/>
                <w:color w:val="000000" w:themeColor="text1"/>
                <w:lang w:val="es-ES" w:eastAsia="en-US"/>
              </w:rPr>
              <w:t>30 (10,4)</w:t>
            </w:r>
          </w:p>
        </w:tc>
      </w:tr>
      <w:tr w:rsidR="00A358B1" w:rsidRPr="00A358B1" w:rsidTr="00F900BB">
        <w:trPr>
          <w:trHeight w:val="20"/>
        </w:trPr>
        <w:tc>
          <w:tcPr>
            <w:tcW w:w="3465" w:type="dxa"/>
            <w:noWrap/>
            <w:vAlign w:val="center"/>
            <w:hideMark/>
          </w:tcPr>
          <w:p w:rsidR="00A358B1" w:rsidRPr="00A358B1" w:rsidRDefault="00A358B1" w:rsidP="00A358B1">
            <w:pPr>
              <w:spacing w:line="360" w:lineRule="auto"/>
              <w:ind w:firstLineChars="200" w:firstLine="400"/>
              <w:rPr>
                <w:rFonts w:ascii="Arial" w:hAnsi="Arial" w:cs="Arial"/>
                <w:color w:val="000000" w:themeColor="text1"/>
                <w:lang w:val="es-ES" w:eastAsia="en-US"/>
              </w:rPr>
            </w:pPr>
            <w:r w:rsidRPr="00A358B1">
              <w:rPr>
                <w:rFonts w:ascii="Arial" w:hAnsi="Arial" w:cs="Arial"/>
                <w:color w:val="000000" w:themeColor="text1"/>
                <w:lang w:val="es-ES" w:eastAsia="en-US"/>
              </w:rPr>
              <w:t>Otras Cirugías</w:t>
            </w:r>
          </w:p>
        </w:tc>
        <w:tc>
          <w:tcPr>
            <w:tcW w:w="1100" w:type="dxa"/>
            <w:noWrap/>
            <w:vAlign w:val="bottom"/>
            <w:hideMark/>
          </w:tcPr>
          <w:p w:rsidR="00A358B1" w:rsidRPr="00A358B1" w:rsidRDefault="00A358B1" w:rsidP="00A358B1">
            <w:pPr>
              <w:spacing w:line="360" w:lineRule="auto"/>
              <w:rPr>
                <w:rFonts w:ascii="Arial" w:hAnsi="Arial" w:cs="Arial"/>
                <w:color w:val="000000" w:themeColor="text1"/>
                <w:lang w:val="es-ES" w:eastAsia="en-US"/>
              </w:rPr>
            </w:pPr>
          </w:p>
        </w:tc>
        <w:tc>
          <w:tcPr>
            <w:tcW w:w="1460" w:type="dxa"/>
            <w:noWrap/>
            <w:vAlign w:val="center"/>
            <w:hideMark/>
          </w:tcPr>
          <w:p w:rsidR="00A358B1" w:rsidRPr="00A358B1" w:rsidRDefault="00A358B1" w:rsidP="00A358B1">
            <w:pPr>
              <w:spacing w:line="360" w:lineRule="auto"/>
              <w:jc w:val="right"/>
              <w:rPr>
                <w:rFonts w:ascii="Arial" w:hAnsi="Arial" w:cs="Arial"/>
                <w:color w:val="000000" w:themeColor="text1"/>
                <w:lang w:val="es-ES" w:eastAsia="en-US"/>
              </w:rPr>
            </w:pPr>
            <w:r w:rsidRPr="00A358B1">
              <w:rPr>
                <w:rFonts w:ascii="Arial" w:hAnsi="Arial" w:cs="Arial"/>
                <w:color w:val="000000" w:themeColor="text1"/>
                <w:lang w:val="es-ES" w:eastAsia="en-US"/>
              </w:rPr>
              <w:t>62 (21,6)</w:t>
            </w:r>
          </w:p>
        </w:tc>
      </w:tr>
      <w:tr w:rsidR="00A358B1" w:rsidRPr="00A358B1" w:rsidTr="00F900BB">
        <w:trPr>
          <w:trHeight w:val="20"/>
        </w:trPr>
        <w:tc>
          <w:tcPr>
            <w:tcW w:w="3465" w:type="dxa"/>
            <w:noWrap/>
            <w:vAlign w:val="center"/>
            <w:hideMark/>
          </w:tcPr>
          <w:p w:rsidR="00A358B1" w:rsidRPr="00A358B1" w:rsidRDefault="00A358B1" w:rsidP="00A358B1">
            <w:pPr>
              <w:spacing w:line="360" w:lineRule="auto"/>
              <w:rPr>
                <w:rFonts w:ascii="Arial" w:hAnsi="Arial" w:cs="Arial"/>
                <w:color w:val="000000" w:themeColor="text1"/>
                <w:lang w:val="es-ES" w:eastAsia="en-US"/>
              </w:rPr>
            </w:pPr>
            <w:r w:rsidRPr="00A358B1">
              <w:rPr>
                <w:rFonts w:ascii="Arial" w:hAnsi="Arial" w:cs="Arial"/>
                <w:color w:val="000000" w:themeColor="text1"/>
                <w:lang w:val="es-ES" w:eastAsia="en-US"/>
              </w:rPr>
              <w:t>Trasplantes</w:t>
            </w:r>
          </w:p>
        </w:tc>
        <w:tc>
          <w:tcPr>
            <w:tcW w:w="1100" w:type="dxa"/>
            <w:noWrap/>
            <w:vAlign w:val="bottom"/>
            <w:hideMark/>
          </w:tcPr>
          <w:p w:rsidR="00A358B1" w:rsidRPr="00A358B1" w:rsidRDefault="00A358B1" w:rsidP="00A358B1">
            <w:pPr>
              <w:spacing w:line="360" w:lineRule="auto"/>
              <w:jc w:val="right"/>
              <w:rPr>
                <w:rFonts w:ascii="Arial" w:hAnsi="Arial" w:cs="Arial"/>
                <w:color w:val="000000" w:themeColor="text1"/>
                <w:lang w:val="es-ES" w:eastAsia="en-US"/>
              </w:rPr>
            </w:pPr>
            <w:r w:rsidRPr="00A358B1">
              <w:rPr>
                <w:rFonts w:ascii="Arial" w:hAnsi="Arial" w:cs="Arial"/>
                <w:color w:val="000000" w:themeColor="text1"/>
                <w:lang w:val="es-ES" w:eastAsia="en-US"/>
              </w:rPr>
              <w:t>14</w:t>
            </w:r>
          </w:p>
        </w:tc>
        <w:tc>
          <w:tcPr>
            <w:tcW w:w="1460" w:type="dxa"/>
            <w:noWrap/>
            <w:vAlign w:val="center"/>
            <w:hideMark/>
          </w:tcPr>
          <w:p w:rsidR="00A358B1" w:rsidRPr="00A358B1" w:rsidRDefault="00A358B1" w:rsidP="00A358B1">
            <w:pPr>
              <w:spacing w:line="360" w:lineRule="auto"/>
              <w:rPr>
                <w:rFonts w:ascii="Arial" w:hAnsi="Arial" w:cs="Arial"/>
                <w:color w:val="000000" w:themeColor="text1"/>
                <w:lang w:val="es-ES" w:eastAsia="en-US"/>
              </w:rPr>
            </w:pPr>
          </w:p>
        </w:tc>
      </w:tr>
      <w:tr w:rsidR="00A358B1" w:rsidRPr="00A358B1" w:rsidTr="00F900BB">
        <w:trPr>
          <w:trHeight w:val="20"/>
        </w:trPr>
        <w:tc>
          <w:tcPr>
            <w:tcW w:w="3465" w:type="dxa"/>
            <w:noWrap/>
            <w:vAlign w:val="center"/>
            <w:hideMark/>
          </w:tcPr>
          <w:p w:rsidR="00A358B1" w:rsidRPr="00A358B1" w:rsidRDefault="00A358B1" w:rsidP="00A358B1">
            <w:pPr>
              <w:spacing w:line="360" w:lineRule="auto"/>
              <w:ind w:firstLineChars="200" w:firstLine="400"/>
              <w:rPr>
                <w:rFonts w:ascii="Arial" w:hAnsi="Arial" w:cs="Arial"/>
                <w:color w:val="000000" w:themeColor="text1"/>
                <w:lang w:val="es-ES" w:eastAsia="en-US"/>
              </w:rPr>
            </w:pPr>
            <w:r w:rsidRPr="00A358B1">
              <w:rPr>
                <w:rFonts w:ascii="Arial" w:hAnsi="Arial" w:cs="Arial"/>
                <w:color w:val="000000" w:themeColor="text1"/>
                <w:lang w:val="es-ES" w:eastAsia="en-US"/>
              </w:rPr>
              <w:t>Trasplante Hepático</w:t>
            </w:r>
          </w:p>
        </w:tc>
        <w:tc>
          <w:tcPr>
            <w:tcW w:w="1100" w:type="dxa"/>
            <w:noWrap/>
            <w:vAlign w:val="bottom"/>
            <w:hideMark/>
          </w:tcPr>
          <w:p w:rsidR="00A358B1" w:rsidRPr="00A358B1" w:rsidRDefault="00A358B1" w:rsidP="00A358B1">
            <w:pPr>
              <w:spacing w:line="360" w:lineRule="auto"/>
              <w:rPr>
                <w:rFonts w:ascii="Arial" w:hAnsi="Arial" w:cs="Arial"/>
                <w:color w:val="000000" w:themeColor="text1"/>
                <w:lang w:val="es-ES" w:eastAsia="en-US"/>
              </w:rPr>
            </w:pPr>
          </w:p>
        </w:tc>
        <w:tc>
          <w:tcPr>
            <w:tcW w:w="1460" w:type="dxa"/>
            <w:noWrap/>
            <w:vAlign w:val="center"/>
            <w:hideMark/>
          </w:tcPr>
          <w:p w:rsidR="00A358B1" w:rsidRPr="00A358B1" w:rsidRDefault="00A358B1" w:rsidP="00A358B1">
            <w:pPr>
              <w:spacing w:line="360" w:lineRule="auto"/>
              <w:jc w:val="right"/>
              <w:rPr>
                <w:rFonts w:ascii="Arial" w:hAnsi="Arial" w:cs="Arial"/>
                <w:color w:val="000000" w:themeColor="text1"/>
                <w:lang w:val="es-ES" w:eastAsia="en-US"/>
              </w:rPr>
            </w:pPr>
            <w:r w:rsidRPr="00A358B1">
              <w:rPr>
                <w:rFonts w:ascii="Arial" w:hAnsi="Arial" w:cs="Arial"/>
                <w:color w:val="000000" w:themeColor="text1"/>
                <w:lang w:val="es-ES" w:eastAsia="en-US"/>
              </w:rPr>
              <w:t>5 (35,7)</w:t>
            </w:r>
          </w:p>
        </w:tc>
      </w:tr>
      <w:tr w:rsidR="00A358B1" w:rsidRPr="00A358B1" w:rsidTr="00F900BB">
        <w:trPr>
          <w:trHeight w:val="20"/>
        </w:trPr>
        <w:tc>
          <w:tcPr>
            <w:tcW w:w="3465" w:type="dxa"/>
            <w:noWrap/>
            <w:vAlign w:val="center"/>
            <w:hideMark/>
          </w:tcPr>
          <w:p w:rsidR="00A358B1" w:rsidRPr="00A358B1" w:rsidRDefault="00A358B1" w:rsidP="00A358B1">
            <w:pPr>
              <w:spacing w:line="360" w:lineRule="auto"/>
              <w:ind w:firstLineChars="200" w:firstLine="400"/>
              <w:rPr>
                <w:rFonts w:ascii="Arial" w:hAnsi="Arial" w:cs="Arial"/>
                <w:color w:val="000000" w:themeColor="text1"/>
                <w:lang w:val="es-ES" w:eastAsia="en-US"/>
              </w:rPr>
            </w:pPr>
            <w:r w:rsidRPr="00A358B1">
              <w:rPr>
                <w:rFonts w:ascii="Arial" w:hAnsi="Arial" w:cs="Arial"/>
                <w:color w:val="000000" w:themeColor="text1"/>
                <w:lang w:val="es-ES" w:eastAsia="en-US"/>
              </w:rPr>
              <w:t>Trasplante Renal</w:t>
            </w:r>
          </w:p>
        </w:tc>
        <w:tc>
          <w:tcPr>
            <w:tcW w:w="1100" w:type="dxa"/>
            <w:noWrap/>
            <w:vAlign w:val="bottom"/>
            <w:hideMark/>
          </w:tcPr>
          <w:p w:rsidR="00A358B1" w:rsidRPr="00A358B1" w:rsidRDefault="00A358B1" w:rsidP="00A358B1">
            <w:pPr>
              <w:spacing w:line="360" w:lineRule="auto"/>
              <w:rPr>
                <w:rFonts w:ascii="Arial" w:hAnsi="Arial" w:cs="Arial"/>
                <w:color w:val="000000" w:themeColor="text1"/>
                <w:lang w:val="es-ES" w:eastAsia="en-US"/>
              </w:rPr>
            </w:pPr>
          </w:p>
        </w:tc>
        <w:tc>
          <w:tcPr>
            <w:tcW w:w="1460" w:type="dxa"/>
            <w:noWrap/>
            <w:vAlign w:val="center"/>
            <w:hideMark/>
          </w:tcPr>
          <w:p w:rsidR="00A358B1" w:rsidRPr="00A358B1" w:rsidRDefault="00A358B1" w:rsidP="00A358B1">
            <w:pPr>
              <w:spacing w:line="360" w:lineRule="auto"/>
              <w:jc w:val="right"/>
              <w:rPr>
                <w:rFonts w:ascii="Arial" w:hAnsi="Arial" w:cs="Arial"/>
                <w:color w:val="000000" w:themeColor="text1"/>
                <w:lang w:val="es-ES" w:eastAsia="en-US"/>
              </w:rPr>
            </w:pPr>
            <w:r w:rsidRPr="00A358B1">
              <w:rPr>
                <w:rFonts w:ascii="Arial" w:hAnsi="Arial" w:cs="Arial"/>
                <w:color w:val="000000" w:themeColor="text1"/>
                <w:lang w:val="es-ES" w:eastAsia="en-US"/>
              </w:rPr>
              <w:t>9 (64,2)</w:t>
            </w:r>
          </w:p>
        </w:tc>
      </w:tr>
      <w:tr w:rsidR="00A358B1" w:rsidRPr="00A358B1" w:rsidTr="00F900BB">
        <w:trPr>
          <w:trHeight w:val="20"/>
        </w:trPr>
        <w:tc>
          <w:tcPr>
            <w:tcW w:w="3465" w:type="dxa"/>
            <w:noWrap/>
            <w:vAlign w:val="center"/>
            <w:hideMark/>
          </w:tcPr>
          <w:p w:rsidR="00A358B1" w:rsidRPr="00A358B1" w:rsidRDefault="00A358B1" w:rsidP="00A358B1">
            <w:pPr>
              <w:spacing w:line="360" w:lineRule="auto"/>
              <w:rPr>
                <w:rFonts w:ascii="Arial" w:hAnsi="Arial" w:cs="Arial"/>
                <w:color w:val="000000" w:themeColor="text1"/>
                <w:lang w:val="es-ES" w:eastAsia="en-US"/>
              </w:rPr>
            </w:pPr>
            <w:r w:rsidRPr="00A358B1">
              <w:rPr>
                <w:rFonts w:ascii="Arial" w:hAnsi="Arial" w:cs="Arial"/>
                <w:color w:val="000000" w:themeColor="text1"/>
                <w:lang w:val="es-ES" w:eastAsia="en-US"/>
              </w:rPr>
              <w:t>Enfermedades Hematológicas</w:t>
            </w:r>
          </w:p>
        </w:tc>
        <w:tc>
          <w:tcPr>
            <w:tcW w:w="1100" w:type="dxa"/>
            <w:noWrap/>
            <w:vAlign w:val="bottom"/>
            <w:hideMark/>
          </w:tcPr>
          <w:p w:rsidR="00A358B1" w:rsidRPr="00A358B1" w:rsidRDefault="00A358B1" w:rsidP="00A358B1">
            <w:pPr>
              <w:spacing w:line="360" w:lineRule="auto"/>
              <w:jc w:val="right"/>
              <w:rPr>
                <w:rFonts w:ascii="Arial" w:hAnsi="Arial" w:cs="Arial"/>
                <w:color w:val="000000" w:themeColor="text1"/>
                <w:lang w:val="es-ES" w:eastAsia="en-US"/>
              </w:rPr>
            </w:pPr>
            <w:r w:rsidRPr="00A358B1">
              <w:rPr>
                <w:rFonts w:ascii="Arial" w:hAnsi="Arial" w:cs="Arial"/>
                <w:color w:val="000000" w:themeColor="text1"/>
                <w:lang w:val="es-ES" w:eastAsia="en-US"/>
              </w:rPr>
              <w:t>14</w:t>
            </w:r>
          </w:p>
        </w:tc>
        <w:tc>
          <w:tcPr>
            <w:tcW w:w="1460" w:type="dxa"/>
            <w:noWrap/>
            <w:vAlign w:val="center"/>
            <w:hideMark/>
          </w:tcPr>
          <w:p w:rsidR="00A358B1" w:rsidRPr="00A358B1" w:rsidRDefault="00A358B1" w:rsidP="00A358B1">
            <w:pPr>
              <w:spacing w:line="360" w:lineRule="auto"/>
              <w:rPr>
                <w:rFonts w:ascii="Arial" w:hAnsi="Arial" w:cs="Arial"/>
                <w:color w:val="000000" w:themeColor="text1"/>
                <w:lang w:val="es-ES" w:eastAsia="en-US"/>
              </w:rPr>
            </w:pPr>
          </w:p>
        </w:tc>
      </w:tr>
      <w:tr w:rsidR="00A358B1" w:rsidRPr="00A358B1" w:rsidTr="00F900BB">
        <w:trPr>
          <w:trHeight w:val="20"/>
        </w:trPr>
        <w:tc>
          <w:tcPr>
            <w:tcW w:w="3465" w:type="dxa"/>
            <w:noWrap/>
            <w:vAlign w:val="center"/>
            <w:hideMark/>
          </w:tcPr>
          <w:p w:rsidR="00A358B1" w:rsidRPr="00A358B1" w:rsidRDefault="00A358B1" w:rsidP="00A358B1">
            <w:pPr>
              <w:spacing w:line="360" w:lineRule="auto"/>
              <w:ind w:firstLineChars="200" w:firstLine="400"/>
              <w:rPr>
                <w:rFonts w:ascii="Arial" w:hAnsi="Arial" w:cs="Arial"/>
                <w:color w:val="000000" w:themeColor="text1"/>
                <w:lang w:val="es-ES" w:eastAsia="en-US"/>
              </w:rPr>
            </w:pPr>
            <w:r w:rsidRPr="00A358B1">
              <w:rPr>
                <w:rFonts w:ascii="Arial" w:hAnsi="Arial" w:cs="Arial"/>
                <w:color w:val="000000" w:themeColor="text1"/>
                <w:lang w:val="es-ES" w:eastAsia="en-US"/>
              </w:rPr>
              <w:t>Hemofilia</w:t>
            </w:r>
          </w:p>
        </w:tc>
        <w:tc>
          <w:tcPr>
            <w:tcW w:w="1100" w:type="dxa"/>
            <w:noWrap/>
            <w:vAlign w:val="bottom"/>
            <w:hideMark/>
          </w:tcPr>
          <w:p w:rsidR="00A358B1" w:rsidRPr="00A358B1" w:rsidRDefault="00A358B1" w:rsidP="00A358B1">
            <w:pPr>
              <w:spacing w:line="360" w:lineRule="auto"/>
              <w:rPr>
                <w:rFonts w:ascii="Arial" w:hAnsi="Arial" w:cs="Arial"/>
                <w:color w:val="000000" w:themeColor="text1"/>
                <w:lang w:val="es-ES" w:eastAsia="en-US"/>
              </w:rPr>
            </w:pPr>
          </w:p>
        </w:tc>
        <w:tc>
          <w:tcPr>
            <w:tcW w:w="1460" w:type="dxa"/>
            <w:noWrap/>
            <w:vAlign w:val="center"/>
            <w:hideMark/>
          </w:tcPr>
          <w:p w:rsidR="00A358B1" w:rsidRPr="00A358B1" w:rsidRDefault="00A358B1" w:rsidP="00A358B1">
            <w:pPr>
              <w:spacing w:line="360" w:lineRule="auto"/>
              <w:jc w:val="right"/>
              <w:rPr>
                <w:rFonts w:ascii="Arial" w:hAnsi="Arial" w:cs="Arial"/>
                <w:color w:val="000000" w:themeColor="text1"/>
                <w:lang w:val="es-ES" w:eastAsia="en-US"/>
              </w:rPr>
            </w:pPr>
            <w:r w:rsidRPr="00A358B1">
              <w:rPr>
                <w:rFonts w:ascii="Arial" w:hAnsi="Arial" w:cs="Arial"/>
                <w:color w:val="000000" w:themeColor="text1"/>
                <w:lang w:val="es-ES" w:eastAsia="en-US"/>
              </w:rPr>
              <w:t>6 (42,8)</w:t>
            </w:r>
          </w:p>
        </w:tc>
      </w:tr>
      <w:tr w:rsidR="00A358B1" w:rsidRPr="00A358B1" w:rsidTr="00F900BB">
        <w:trPr>
          <w:trHeight w:val="20"/>
        </w:trPr>
        <w:tc>
          <w:tcPr>
            <w:tcW w:w="3465" w:type="dxa"/>
            <w:noWrap/>
            <w:vAlign w:val="center"/>
            <w:hideMark/>
          </w:tcPr>
          <w:p w:rsidR="00A358B1" w:rsidRPr="00A358B1" w:rsidRDefault="00A358B1" w:rsidP="00A358B1">
            <w:pPr>
              <w:spacing w:line="360" w:lineRule="auto"/>
              <w:ind w:firstLineChars="200" w:firstLine="400"/>
              <w:rPr>
                <w:rFonts w:ascii="Arial" w:hAnsi="Arial" w:cs="Arial"/>
                <w:color w:val="000000" w:themeColor="text1"/>
                <w:lang w:val="es-ES" w:eastAsia="en-US"/>
              </w:rPr>
            </w:pPr>
            <w:r w:rsidRPr="00A358B1">
              <w:rPr>
                <w:rFonts w:ascii="Arial" w:hAnsi="Arial" w:cs="Arial"/>
                <w:color w:val="000000" w:themeColor="text1"/>
                <w:lang w:val="es-ES" w:eastAsia="en-US"/>
              </w:rPr>
              <w:t>Drepanocitosis</w:t>
            </w:r>
          </w:p>
        </w:tc>
        <w:tc>
          <w:tcPr>
            <w:tcW w:w="1100" w:type="dxa"/>
            <w:noWrap/>
            <w:vAlign w:val="bottom"/>
            <w:hideMark/>
          </w:tcPr>
          <w:p w:rsidR="00A358B1" w:rsidRPr="00A358B1" w:rsidRDefault="00A358B1" w:rsidP="00A358B1">
            <w:pPr>
              <w:spacing w:line="360" w:lineRule="auto"/>
              <w:rPr>
                <w:rFonts w:ascii="Arial" w:hAnsi="Arial" w:cs="Arial"/>
                <w:color w:val="000000" w:themeColor="text1"/>
                <w:lang w:val="es-ES" w:eastAsia="en-US"/>
              </w:rPr>
            </w:pPr>
          </w:p>
        </w:tc>
        <w:tc>
          <w:tcPr>
            <w:tcW w:w="1460" w:type="dxa"/>
            <w:noWrap/>
            <w:vAlign w:val="center"/>
            <w:hideMark/>
          </w:tcPr>
          <w:p w:rsidR="00A358B1" w:rsidRPr="00A358B1" w:rsidRDefault="00A358B1" w:rsidP="00A358B1">
            <w:pPr>
              <w:spacing w:line="360" w:lineRule="auto"/>
              <w:jc w:val="right"/>
              <w:rPr>
                <w:rFonts w:ascii="Arial" w:hAnsi="Arial" w:cs="Arial"/>
                <w:color w:val="000000" w:themeColor="text1"/>
                <w:lang w:val="es-ES" w:eastAsia="en-US"/>
              </w:rPr>
            </w:pPr>
            <w:r w:rsidRPr="00A358B1">
              <w:rPr>
                <w:rFonts w:ascii="Arial" w:hAnsi="Arial" w:cs="Arial"/>
                <w:color w:val="000000" w:themeColor="text1"/>
                <w:lang w:val="es-ES" w:eastAsia="en-US"/>
              </w:rPr>
              <w:t>3 (21,4)</w:t>
            </w:r>
          </w:p>
        </w:tc>
      </w:tr>
      <w:tr w:rsidR="00A358B1" w:rsidRPr="00A358B1" w:rsidTr="00F900BB">
        <w:trPr>
          <w:trHeight w:val="20"/>
        </w:trPr>
        <w:tc>
          <w:tcPr>
            <w:tcW w:w="3465" w:type="dxa"/>
            <w:noWrap/>
            <w:vAlign w:val="center"/>
            <w:hideMark/>
          </w:tcPr>
          <w:p w:rsidR="00A358B1" w:rsidRPr="00A358B1" w:rsidRDefault="00A358B1" w:rsidP="00A358B1">
            <w:pPr>
              <w:spacing w:line="360" w:lineRule="auto"/>
              <w:ind w:firstLineChars="200" w:firstLine="400"/>
              <w:rPr>
                <w:rFonts w:ascii="Arial" w:hAnsi="Arial" w:cs="Arial"/>
                <w:color w:val="000000" w:themeColor="text1"/>
                <w:lang w:val="es-ES" w:eastAsia="en-US"/>
              </w:rPr>
            </w:pPr>
            <w:r w:rsidRPr="00A358B1">
              <w:rPr>
                <w:rFonts w:ascii="Arial" w:hAnsi="Arial" w:cs="Arial"/>
                <w:color w:val="000000" w:themeColor="text1"/>
                <w:lang w:val="es-ES" w:eastAsia="en-US"/>
              </w:rPr>
              <w:t>Linfomas/Leucemias</w:t>
            </w:r>
          </w:p>
        </w:tc>
        <w:tc>
          <w:tcPr>
            <w:tcW w:w="1100" w:type="dxa"/>
            <w:noWrap/>
            <w:vAlign w:val="bottom"/>
            <w:hideMark/>
          </w:tcPr>
          <w:p w:rsidR="00A358B1" w:rsidRPr="00A358B1" w:rsidRDefault="00A358B1" w:rsidP="00A358B1">
            <w:pPr>
              <w:spacing w:line="360" w:lineRule="auto"/>
              <w:rPr>
                <w:rFonts w:ascii="Arial" w:hAnsi="Arial" w:cs="Arial"/>
                <w:color w:val="000000" w:themeColor="text1"/>
                <w:lang w:val="es-ES" w:eastAsia="en-US"/>
              </w:rPr>
            </w:pPr>
          </w:p>
        </w:tc>
        <w:tc>
          <w:tcPr>
            <w:tcW w:w="1460" w:type="dxa"/>
            <w:noWrap/>
            <w:vAlign w:val="center"/>
            <w:hideMark/>
          </w:tcPr>
          <w:p w:rsidR="00A358B1" w:rsidRPr="00A358B1" w:rsidRDefault="00A358B1" w:rsidP="00A358B1">
            <w:pPr>
              <w:spacing w:line="360" w:lineRule="auto"/>
              <w:jc w:val="right"/>
              <w:rPr>
                <w:rFonts w:ascii="Arial" w:hAnsi="Arial" w:cs="Arial"/>
                <w:color w:val="000000" w:themeColor="text1"/>
                <w:lang w:val="es-ES" w:eastAsia="en-US"/>
              </w:rPr>
            </w:pPr>
            <w:r w:rsidRPr="00A358B1">
              <w:rPr>
                <w:rFonts w:ascii="Arial" w:hAnsi="Arial" w:cs="Arial"/>
                <w:color w:val="000000" w:themeColor="text1"/>
                <w:lang w:val="es-ES" w:eastAsia="en-US"/>
              </w:rPr>
              <w:t>3 (21,4)</w:t>
            </w:r>
          </w:p>
        </w:tc>
      </w:tr>
      <w:tr w:rsidR="00A358B1" w:rsidRPr="00A358B1" w:rsidTr="00F900BB">
        <w:trPr>
          <w:trHeight w:val="20"/>
        </w:trPr>
        <w:tc>
          <w:tcPr>
            <w:tcW w:w="3465" w:type="dxa"/>
            <w:noWrap/>
            <w:vAlign w:val="center"/>
            <w:hideMark/>
          </w:tcPr>
          <w:p w:rsidR="00A358B1" w:rsidRPr="00A358B1" w:rsidRDefault="00A358B1" w:rsidP="00A358B1">
            <w:pPr>
              <w:spacing w:line="360" w:lineRule="auto"/>
              <w:ind w:firstLineChars="200" w:firstLine="400"/>
              <w:rPr>
                <w:rFonts w:ascii="Arial" w:hAnsi="Arial" w:cs="Arial"/>
                <w:color w:val="000000" w:themeColor="text1"/>
                <w:lang w:val="es-ES" w:eastAsia="en-US"/>
              </w:rPr>
            </w:pPr>
            <w:r w:rsidRPr="00A358B1">
              <w:rPr>
                <w:rFonts w:ascii="Arial" w:hAnsi="Arial" w:cs="Arial"/>
                <w:color w:val="000000" w:themeColor="text1"/>
                <w:lang w:val="es-ES" w:eastAsia="en-US"/>
              </w:rPr>
              <w:t>Púrpura trombocitopenia</w:t>
            </w:r>
          </w:p>
        </w:tc>
        <w:tc>
          <w:tcPr>
            <w:tcW w:w="1100" w:type="dxa"/>
            <w:noWrap/>
            <w:vAlign w:val="bottom"/>
            <w:hideMark/>
          </w:tcPr>
          <w:p w:rsidR="00A358B1" w:rsidRPr="00A358B1" w:rsidRDefault="00A358B1" w:rsidP="00A358B1">
            <w:pPr>
              <w:spacing w:line="360" w:lineRule="auto"/>
              <w:rPr>
                <w:rFonts w:ascii="Arial" w:hAnsi="Arial" w:cs="Arial"/>
                <w:color w:val="000000" w:themeColor="text1"/>
                <w:lang w:val="es-ES" w:eastAsia="en-US"/>
              </w:rPr>
            </w:pPr>
          </w:p>
        </w:tc>
        <w:tc>
          <w:tcPr>
            <w:tcW w:w="1460" w:type="dxa"/>
            <w:noWrap/>
            <w:vAlign w:val="center"/>
            <w:hideMark/>
          </w:tcPr>
          <w:p w:rsidR="00A358B1" w:rsidRPr="00A358B1" w:rsidRDefault="00A358B1" w:rsidP="00A358B1">
            <w:pPr>
              <w:spacing w:line="360" w:lineRule="auto"/>
              <w:jc w:val="right"/>
              <w:rPr>
                <w:rFonts w:ascii="Arial" w:hAnsi="Arial" w:cs="Arial"/>
                <w:color w:val="000000" w:themeColor="text1"/>
                <w:lang w:val="es-ES" w:eastAsia="en-US"/>
              </w:rPr>
            </w:pPr>
            <w:r w:rsidRPr="00A358B1">
              <w:rPr>
                <w:rFonts w:ascii="Arial" w:hAnsi="Arial" w:cs="Arial"/>
                <w:color w:val="000000" w:themeColor="text1"/>
                <w:lang w:val="es-ES" w:eastAsia="en-US"/>
              </w:rPr>
              <w:t>1 (7,1)</w:t>
            </w:r>
          </w:p>
        </w:tc>
      </w:tr>
      <w:tr w:rsidR="00A358B1" w:rsidRPr="00A358B1" w:rsidTr="00F900BB">
        <w:trPr>
          <w:trHeight w:val="20"/>
        </w:trPr>
        <w:tc>
          <w:tcPr>
            <w:tcW w:w="3465" w:type="dxa"/>
            <w:noWrap/>
            <w:vAlign w:val="center"/>
            <w:hideMark/>
          </w:tcPr>
          <w:p w:rsidR="00A358B1" w:rsidRPr="00A358B1" w:rsidRDefault="00A358B1" w:rsidP="00A358B1">
            <w:pPr>
              <w:spacing w:line="360" w:lineRule="auto"/>
              <w:ind w:firstLineChars="200" w:firstLine="400"/>
              <w:rPr>
                <w:rFonts w:ascii="Arial" w:hAnsi="Arial" w:cs="Arial"/>
                <w:color w:val="000000" w:themeColor="text1"/>
                <w:lang w:val="es-ES" w:eastAsia="en-US"/>
              </w:rPr>
            </w:pPr>
            <w:r w:rsidRPr="00A358B1">
              <w:rPr>
                <w:rFonts w:ascii="Arial" w:hAnsi="Arial" w:cs="Arial"/>
                <w:color w:val="000000" w:themeColor="text1"/>
                <w:lang w:val="es-ES" w:eastAsia="en-US"/>
              </w:rPr>
              <w:lastRenderedPageBreak/>
              <w:t xml:space="preserve">Enfermedad de Von </w:t>
            </w:r>
            <w:proofErr w:type="spellStart"/>
            <w:r w:rsidRPr="00A358B1">
              <w:rPr>
                <w:rFonts w:ascii="Arial" w:hAnsi="Arial" w:cs="Arial"/>
                <w:color w:val="000000" w:themeColor="text1"/>
                <w:lang w:val="es-ES" w:eastAsia="en-US"/>
              </w:rPr>
              <w:t>Willebrand</w:t>
            </w:r>
            <w:proofErr w:type="spellEnd"/>
          </w:p>
        </w:tc>
        <w:tc>
          <w:tcPr>
            <w:tcW w:w="1100" w:type="dxa"/>
            <w:noWrap/>
            <w:vAlign w:val="bottom"/>
            <w:hideMark/>
          </w:tcPr>
          <w:p w:rsidR="00A358B1" w:rsidRPr="00A358B1" w:rsidRDefault="00A358B1" w:rsidP="00A358B1">
            <w:pPr>
              <w:spacing w:line="360" w:lineRule="auto"/>
              <w:rPr>
                <w:rFonts w:ascii="Arial" w:hAnsi="Arial" w:cs="Arial"/>
                <w:color w:val="000000" w:themeColor="text1"/>
                <w:lang w:val="es-ES" w:eastAsia="en-US"/>
              </w:rPr>
            </w:pPr>
            <w:r w:rsidRPr="00A358B1">
              <w:rPr>
                <w:rFonts w:ascii="Arial" w:hAnsi="Arial" w:cs="Arial"/>
                <w:color w:val="000000" w:themeColor="text1"/>
                <w:lang w:val="es-ES" w:eastAsia="en-US"/>
              </w:rPr>
              <w:t> </w:t>
            </w:r>
          </w:p>
        </w:tc>
        <w:tc>
          <w:tcPr>
            <w:tcW w:w="1460" w:type="dxa"/>
            <w:noWrap/>
            <w:vAlign w:val="center"/>
            <w:hideMark/>
          </w:tcPr>
          <w:p w:rsidR="00A358B1" w:rsidRPr="00A358B1" w:rsidRDefault="00A358B1" w:rsidP="00A358B1">
            <w:pPr>
              <w:spacing w:line="360" w:lineRule="auto"/>
              <w:jc w:val="right"/>
              <w:rPr>
                <w:rFonts w:ascii="Arial" w:hAnsi="Arial" w:cs="Arial"/>
                <w:color w:val="000000" w:themeColor="text1"/>
                <w:lang w:val="es-ES" w:eastAsia="en-US"/>
              </w:rPr>
            </w:pPr>
            <w:r w:rsidRPr="00A358B1">
              <w:rPr>
                <w:rFonts w:ascii="Arial" w:hAnsi="Arial" w:cs="Arial"/>
                <w:color w:val="000000" w:themeColor="text1"/>
                <w:lang w:val="es-ES" w:eastAsia="en-US"/>
              </w:rPr>
              <w:t>1 (7,1)</w:t>
            </w:r>
          </w:p>
        </w:tc>
      </w:tr>
      <w:tr w:rsidR="00A358B1" w:rsidRPr="00A358B1" w:rsidTr="00F900BB">
        <w:trPr>
          <w:trHeight w:val="20"/>
        </w:trPr>
        <w:tc>
          <w:tcPr>
            <w:tcW w:w="3465" w:type="dxa"/>
            <w:noWrap/>
            <w:vAlign w:val="bottom"/>
            <w:hideMark/>
          </w:tcPr>
          <w:p w:rsidR="00A358B1" w:rsidRPr="00A358B1" w:rsidRDefault="00A358B1" w:rsidP="00A358B1">
            <w:pPr>
              <w:spacing w:line="360" w:lineRule="auto"/>
              <w:ind w:firstLineChars="200" w:firstLine="400"/>
              <w:rPr>
                <w:rFonts w:ascii="Arial" w:hAnsi="Arial" w:cs="Arial"/>
                <w:color w:val="000000" w:themeColor="text1"/>
                <w:lang w:val="es-ES" w:eastAsia="en-US"/>
              </w:rPr>
            </w:pPr>
            <w:r w:rsidRPr="00A358B1">
              <w:rPr>
                <w:rFonts w:ascii="Arial" w:hAnsi="Arial" w:cs="Arial"/>
                <w:color w:val="000000" w:themeColor="text1"/>
                <w:lang w:val="es-ES" w:eastAsia="en-US"/>
              </w:rPr>
              <w:t>Transfusiones</w:t>
            </w:r>
          </w:p>
        </w:tc>
        <w:tc>
          <w:tcPr>
            <w:tcW w:w="1100" w:type="dxa"/>
            <w:noWrap/>
            <w:vAlign w:val="bottom"/>
          </w:tcPr>
          <w:p w:rsidR="00A358B1" w:rsidRPr="00A358B1" w:rsidRDefault="00A358B1" w:rsidP="00A358B1">
            <w:pPr>
              <w:spacing w:line="360" w:lineRule="auto"/>
              <w:rPr>
                <w:rFonts w:ascii="Arial" w:hAnsi="Arial" w:cs="Arial"/>
                <w:color w:val="000000" w:themeColor="text1"/>
                <w:lang w:val="es-ES" w:eastAsia="en-US"/>
              </w:rPr>
            </w:pPr>
          </w:p>
        </w:tc>
        <w:tc>
          <w:tcPr>
            <w:tcW w:w="1460" w:type="dxa"/>
            <w:noWrap/>
            <w:vAlign w:val="center"/>
            <w:hideMark/>
          </w:tcPr>
          <w:p w:rsidR="00A358B1" w:rsidRPr="00A358B1" w:rsidRDefault="00A358B1" w:rsidP="00A358B1">
            <w:pPr>
              <w:spacing w:line="360" w:lineRule="auto"/>
              <w:jc w:val="right"/>
              <w:rPr>
                <w:rFonts w:ascii="Arial" w:hAnsi="Arial" w:cs="Arial"/>
                <w:color w:val="000000" w:themeColor="text1"/>
                <w:lang w:val="es-ES" w:eastAsia="en-US"/>
              </w:rPr>
            </w:pPr>
            <w:r w:rsidRPr="00A358B1">
              <w:rPr>
                <w:rFonts w:ascii="Arial" w:hAnsi="Arial" w:cs="Arial"/>
                <w:color w:val="000000" w:themeColor="text1"/>
                <w:lang w:val="es-ES" w:eastAsia="en-US"/>
              </w:rPr>
              <w:t>79 (36,9)</w:t>
            </w:r>
          </w:p>
        </w:tc>
      </w:tr>
      <w:tr w:rsidR="00A358B1" w:rsidRPr="00A358B1" w:rsidTr="00F900BB">
        <w:trPr>
          <w:trHeight w:val="20"/>
        </w:trPr>
        <w:tc>
          <w:tcPr>
            <w:tcW w:w="3465" w:type="dxa"/>
            <w:tcBorders>
              <w:top w:val="nil"/>
              <w:left w:val="nil"/>
              <w:bottom w:val="single" w:sz="8" w:space="0" w:color="auto"/>
              <w:right w:val="nil"/>
            </w:tcBorders>
            <w:noWrap/>
            <w:vAlign w:val="bottom"/>
            <w:hideMark/>
          </w:tcPr>
          <w:p w:rsidR="00A358B1" w:rsidRPr="00A358B1" w:rsidRDefault="00A358B1" w:rsidP="00A358B1">
            <w:pPr>
              <w:spacing w:line="360" w:lineRule="auto"/>
              <w:ind w:firstLineChars="200" w:firstLine="400"/>
              <w:rPr>
                <w:rFonts w:ascii="Arial" w:hAnsi="Arial" w:cs="Arial"/>
                <w:color w:val="000000" w:themeColor="text1"/>
                <w:lang w:val="es-ES" w:eastAsia="en-US"/>
              </w:rPr>
            </w:pPr>
            <w:r w:rsidRPr="00A358B1">
              <w:rPr>
                <w:rFonts w:ascii="Arial" w:hAnsi="Arial" w:cs="Arial"/>
                <w:color w:val="000000" w:themeColor="text1"/>
                <w:lang w:val="es-ES" w:eastAsia="en-US"/>
              </w:rPr>
              <w:t>Tatuajes</w:t>
            </w:r>
          </w:p>
        </w:tc>
        <w:tc>
          <w:tcPr>
            <w:tcW w:w="1100" w:type="dxa"/>
            <w:tcBorders>
              <w:top w:val="nil"/>
              <w:left w:val="nil"/>
              <w:bottom w:val="single" w:sz="8" w:space="0" w:color="auto"/>
              <w:right w:val="nil"/>
            </w:tcBorders>
            <w:noWrap/>
            <w:vAlign w:val="bottom"/>
          </w:tcPr>
          <w:p w:rsidR="00A358B1" w:rsidRPr="00A358B1" w:rsidRDefault="00A358B1" w:rsidP="00A358B1">
            <w:pPr>
              <w:spacing w:line="360" w:lineRule="auto"/>
              <w:rPr>
                <w:rFonts w:ascii="Arial" w:hAnsi="Arial" w:cs="Arial"/>
                <w:color w:val="000000" w:themeColor="text1"/>
                <w:lang w:val="es-ES" w:eastAsia="en-US"/>
              </w:rPr>
            </w:pPr>
          </w:p>
        </w:tc>
        <w:tc>
          <w:tcPr>
            <w:tcW w:w="1460" w:type="dxa"/>
            <w:tcBorders>
              <w:top w:val="nil"/>
              <w:left w:val="nil"/>
              <w:bottom w:val="single" w:sz="8" w:space="0" w:color="auto"/>
              <w:right w:val="nil"/>
            </w:tcBorders>
            <w:noWrap/>
            <w:vAlign w:val="center"/>
            <w:hideMark/>
          </w:tcPr>
          <w:p w:rsidR="00A358B1" w:rsidRPr="00A358B1" w:rsidRDefault="00A358B1" w:rsidP="00A358B1">
            <w:pPr>
              <w:spacing w:line="360" w:lineRule="auto"/>
              <w:jc w:val="right"/>
              <w:rPr>
                <w:rFonts w:ascii="Arial" w:hAnsi="Arial" w:cs="Arial"/>
                <w:color w:val="000000" w:themeColor="text1"/>
                <w:lang w:val="es-ES" w:eastAsia="en-US"/>
              </w:rPr>
            </w:pPr>
            <w:r w:rsidRPr="00A358B1">
              <w:rPr>
                <w:rFonts w:ascii="Arial" w:hAnsi="Arial" w:cs="Arial"/>
                <w:color w:val="000000" w:themeColor="text1"/>
                <w:lang w:val="es-ES" w:eastAsia="en-US"/>
              </w:rPr>
              <w:t>13 (6)</w:t>
            </w:r>
          </w:p>
        </w:tc>
      </w:tr>
    </w:tbl>
    <w:p w:rsidR="00A358B1" w:rsidRDefault="00A358B1" w:rsidP="00A358B1">
      <w:pPr>
        <w:spacing w:line="360" w:lineRule="auto"/>
        <w:rPr>
          <w:rFonts w:ascii="Arial" w:hAnsi="Arial" w:cs="Arial"/>
          <w:lang w:val="es-ES"/>
        </w:rPr>
      </w:pPr>
    </w:p>
    <w:p w:rsidR="00A358B1" w:rsidRDefault="00A358B1" w:rsidP="00A358B1">
      <w:pPr>
        <w:spacing w:line="360" w:lineRule="auto"/>
        <w:rPr>
          <w:rFonts w:ascii="Arial" w:hAnsi="Arial" w:cs="Arial"/>
          <w:lang w:val="es-ES"/>
        </w:rPr>
      </w:pPr>
    </w:p>
    <w:p w:rsidR="00A358B1" w:rsidRDefault="00A358B1" w:rsidP="00A358B1">
      <w:pPr>
        <w:spacing w:line="360" w:lineRule="auto"/>
        <w:rPr>
          <w:rFonts w:ascii="Arial" w:hAnsi="Arial" w:cs="Arial"/>
          <w:lang w:val="es-ES"/>
        </w:rPr>
      </w:pPr>
    </w:p>
    <w:p w:rsidR="00A358B1" w:rsidRPr="00A358B1" w:rsidRDefault="00A358B1" w:rsidP="00A358B1">
      <w:pPr>
        <w:spacing w:line="360" w:lineRule="auto"/>
        <w:rPr>
          <w:rFonts w:ascii="Arial" w:hAnsi="Arial" w:cs="Arial"/>
          <w:lang w:val="es-ES"/>
        </w:rPr>
      </w:pPr>
    </w:p>
    <w:p w:rsidR="00A358B1" w:rsidRPr="00A358B1" w:rsidRDefault="00A358B1" w:rsidP="00A358B1">
      <w:pPr>
        <w:spacing w:line="360" w:lineRule="auto"/>
        <w:rPr>
          <w:rFonts w:ascii="Arial" w:hAnsi="Arial" w:cs="Arial"/>
          <w:lang w:val="es-ES"/>
        </w:rPr>
      </w:pPr>
    </w:p>
    <w:p w:rsidR="00A358B1" w:rsidRPr="00A358B1" w:rsidRDefault="00A358B1" w:rsidP="00A358B1">
      <w:pPr>
        <w:spacing w:line="360" w:lineRule="auto"/>
        <w:rPr>
          <w:rFonts w:ascii="Arial" w:hAnsi="Arial" w:cs="Arial"/>
          <w:lang w:val="es-ES"/>
        </w:rPr>
      </w:pPr>
      <w:r w:rsidRPr="00A358B1">
        <w:rPr>
          <w:rFonts w:ascii="Arial" w:hAnsi="Arial" w:cs="Arial"/>
          <w:b/>
          <w:lang w:val="es-ES"/>
        </w:rPr>
        <w:t xml:space="preserve">Tabla 3. </w:t>
      </w:r>
      <w:r w:rsidRPr="00A358B1">
        <w:rPr>
          <w:rFonts w:ascii="Arial" w:hAnsi="Arial" w:cs="Arial"/>
          <w:i/>
          <w:lang w:val="es-ES"/>
        </w:rPr>
        <w:t xml:space="preserve"> </w:t>
      </w:r>
      <w:r w:rsidRPr="00A358B1">
        <w:rPr>
          <w:rFonts w:ascii="Arial" w:hAnsi="Arial" w:cs="Arial"/>
          <w:lang w:val="es-ES"/>
        </w:rPr>
        <w:t>Distribución por edad en pacientes con transfusiones y VHC</w:t>
      </w:r>
    </w:p>
    <w:tbl>
      <w:tblPr>
        <w:tblW w:w="4395" w:type="dxa"/>
        <w:tblLayout w:type="fixed"/>
        <w:tblCellMar>
          <w:left w:w="70" w:type="dxa"/>
          <w:right w:w="70" w:type="dxa"/>
        </w:tblCellMar>
        <w:tblLook w:val="04A0" w:firstRow="1" w:lastRow="0" w:firstColumn="1" w:lastColumn="0" w:noHBand="0" w:noVBand="1"/>
      </w:tblPr>
      <w:tblGrid>
        <w:gridCol w:w="1485"/>
        <w:gridCol w:w="567"/>
        <w:gridCol w:w="2343"/>
      </w:tblGrid>
      <w:tr w:rsidR="00A358B1" w:rsidRPr="00A358B1" w:rsidTr="00F900BB">
        <w:trPr>
          <w:trHeight w:val="567"/>
        </w:trPr>
        <w:tc>
          <w:tcPr>
            <w:tcW w:w="2052" w:type="dxa"/>
            <w:gridSpan w:val="2"/>
            <w:tcBorders>
              <w:top w:val="nil"/>
              <w:left w:val="nil"/>
              <w:bottom w:val="single" w:sz="2" w:space="0" w:color="auto"/>
              <w:right w:val="nil"/>
            </w:tcBorders>
            <w:noWrap/>
            <w:vAlign w:val="bottom"/>
            <w:hideMark/>
          </w:tcPr>
          <w:p w:rsidR="00A358B1" w:rsidRPr="00A358B1" w:rsidRDefault="00A358B1" w:rsidP="00A358B1">
            <w:pPr>
              <w:spacing w:line="360" w:lineRule="auto"/>
              <w:rPr>
                <w:rFonts w:ascii="Arial" w:hAnsi="Arial" w:cs="Arial"/>
                <w:color w:val="000000"/>
                <w:lang w:val="es-ES" w:eastAsia="en-US"/>
              </w:rPr>
            </w:pPr>
            <w:r w:rsidRPr="00A358B1">
              <w:rPr>
                <w:rFonts w:ascii="Arial" w:hAnsi="Arial" w:cs="Arial"/>
                <w:color w:val="000000"/>
                <w:lang w:val="es-ES" w:eastAsia="en-US"/>
              </w:rPr>
              <w:t>Edad (rangos)</w:t>
            </w:r>
          </w:p>
        </w:tc>
        <w:tc>
          <w:tcPr>
            <w:tcW w:w="2343" w:type="dxa"/>
            <w:tcBorders>
              <w:top w:val="nil"/>
              <w:left w:val="nil"/>
              <w:bottom w:val="single" w:sz="2" w:space="0" w:color="auto"/>
              <w:right w:val="nil"/>
            </w:tcBorders>
            <w:noWrap/>
            <w:vAlign w:val="bottom"/>
            <w:hideMark/>
          </w:tcPr>
          <w:p w:rsidR="00A358B1" w:rsidRPr="00A358B1" w:rsidRDefault="00A358B1" w:rsidP="00A358B1">
            <w:pPr>
              <w:spacing w:line="360" w:lineRule="auto"/>
              <w:rPr>
                <w:rFonts w:ascii="Arial" w:hAnsi="Arial" w:cs="Arial"/>
                <w:color w:val="000000"/>
                <w:lang w:val="es-ES" w:eastAsia="en-US"/>
              </w:rPr>
            </w:pPr>
            <w:r w:rsidRPr="00A358B1">
              <w:rPr>
                <w:rFonts w:ascii="Arial" w:hAnsi="Arial" w:cs="Arial"/>
                <w:color w:val="000000"/>
                <w:lang w:val="es-ES" w:eastAsia="en-US"/>
              </w:rPr>
              <w:t>Trasfusiones n (%)</w:t>
            </w:r>
          </w:p>
        </w:tc>
      </w:tr>
      <w:tr w:rsidR="00A358B1" w:rsidRPr="00A358B1" w:rsidTr="00F900BB">
        <w:trPr>
          <w:trHeight w:val="300"/>
        </w:trPr>
        <w:tc>
          <w:tcPr>
            <w:tcW w:w="1485" w:type="dxa"/>
            <w:tcBorders>
              <w:top w:val="single" w:sz="2" w:space="0" w:color="auto"/>
              <w:left w:val="nil"/>
              <w:bottom w:val="nil"/>
              <w:right w:val="nil"/>
            </w:tcBorders>
            <w:noWrap/>
            <w:vAlign w:val="bottom"/>
            <w:hideMark/>
          </w:tcPr>
          <w:p w:rsidR="00A358B1" w:rsidRPr="00A358B1" w:rsidRDefault="00A358B1" w:rsidP="00A358B1">
            <w:pPr>
              <w:spacing w:line="360" w:lineRule="auto"/>
              <w:rPr>
                <w:rFonts w:ascii="Arial" w:hAnsi="Arial" w:cs="Arial"/>
                <w:color w:val="000000"/>
                <w:lang w:val="es-ES" w:eastAsia="en-US"/>
              </w:rPr>
            </w:pPr>
            <w:r w:rsidRPr="00A358B1">
              <w:rPr>
                <w:rFonts w:ascii="Arial" w:hAnsi="Arial" w:cs="Arial"/>
                <w:color w:val="000000"/>
                <w:lang w:val="es-ES" w:eastAsia="en-US"/>
              </w:rPr>
              <w:t>0-30</w:t>
            </w:r>
          </w:p>
        </w:tc>
        <w:tc>
          <w:tcPr>
            <w:tcW w:w="567" w:type="dxa"/>
            <w:tcBorders>
              <w:top w:val="single" w:sz="2" w:space="0" w:color="auto"/>
              <w:left w:val="nil"/>
              <w:bottom w:val="nil"/>
              <w:right w:val="nil"/>
            </w:tcBorders>
            <w:noWrap/>
            <w:vAlign w:val="bottom"/>
            <w:hideMark/>
          </w:tcPr>
          <w:p w:rsidR="00A358B1" w:rsidRPr="00A358B1" w:rsidRDefault="00A358B1" w:rsidP="00A358B1">
            <w:pPr>
              <w:spacing w:line="360" w:lineRule="auto"/>
              <w:rPr>
                <w:rFonts w:ascii="Arial" w:hAnsi="Arial" w:cs="Arial"/>
                <w:color w:val="000000"/>
                <w:lang w:val="es-ES" w:eastAsia="en-US"/>
              </w:rPr>
            </w:pPr>
            <w:r w:rsidRPr="00A358B1">
              <w:rPr>
                <w:rFonts w:ascii="Arial" w:hAnsi="Arial" w:cs="Arial"/>
                <w:color w:val="000000"/>
                <w:lang w:val="es-ES" w:eastAsia="en-US"/>
              </w:rPr>
              <w:t> </w:t>
            </w:r>
          </w:p>
        </w:tc>
        <w:tc>
          <w:tcPr>
            <w:tcW w:w="2343" w:type="dxa"/>
            <w:tcBorders>
              <w:top w:val="single" w:sz="2" w:space="0" w:color="auto"/>
              <w:left w:val="nil"/>
              <w:bottom w:val="nil"/>
              <w:right w:val="nil"/>
            </w:tcBorders>
            <w:noWrap/>
            <w:vAlign w:val="bottom"/>
            <w:hideMark/>
          </w:tcPr>
          <w:p w:rsidR="00A358B1" w:rsidRPr="00A358B1" w:rsidRDefault="00A358B1" w:rsidP="00A358B1">
            <w:pPr>
              <w:spacing w:line="360" w:lineRule="auto"/>
              <w:rPr>
                <w:rFonts w:ascii="Arial" w:hAnsi="Arial" w:cs="Arial"/>
                <w:color w:val="000000"/>
                <w:lang w:val="es-ES" w:eastAsia="en-US"/>
              </w:rPr>
            </w:pPr>
            <w:r w:rsidRPr="00A358B1">
              <w:rPr>
                <w:rFonts w:ascii="Arial" w:hAnsi="Arial" w:cs="Arial"/>
                <w:color w:val="000000"/>
                <w:lang w:val="es-ES" w:eastAsia="en-US"/>
              </w:rPr>
              <w:t>3 (3,8)</w:t>
            </w:r>
          </w:p>
        </w:tc>
      </w:tr>
      <w:tr w:rsidR="00A358B1" w:rsidRPr="00A358B1" w:rsidTr="00F900BB">
        <w:trPr>
          <w:trHeight w:val="300"/>
        </w:trPr>
        <w:tc>
          <w:tcPr>
            <w:tcW w:w="1485" w:type="dxa"/>
            <w:noWrap/>
            <w:vAlign w:val="bottom"/>
            <w:hideMark/>
          </w:tcPr>
          <w:p w:rsidR="00A358B1" w:rsidRPr="00A358B1" w:rsidRDefault="00A358B1" w:rsidP="00A358B1">
            <w:pPr>
              <w:spacing w:line="360" w:lineRule="auto"/>
              <w:rPr>
                <w:rFonts w:ascii="Arial" w:hAnsi="Arial" w:cs="Arial"/>
                <w:color w:val="000000"/>
                <w:lang w:val="es-ES" w:eastAsia="en-US"/>
              </w:rPr>
            </w:pPr>
            <w:r w:rsidRPr="00A358B1">
              <w:rPr>
                <w:rFonts w:ascii="Arial" w:hAnsi="Arial" w:cs="Arial"/>
                <w:color w:val="000000"/>
                <w:lang w:val="es-ES" w:eastAsia="en-US"/>
              </w:rPr>
              <w:t>31-50</w:t>
            </w:r>
          </w:p>
        </w:tc>
        <w:tc>
          <w:tcPr>
            <w:tcW w:w="567" w:type="dxa"/>
            <w:noWrap/>
            <w:vAlign w:val="bottom"/>
            <w:hideMark/>
          </w:tcPr>
          <w:p w:rsidR="00A358B1" w:rsidRPr="00A358B1" w:rsidRDefault="00A358B1" w:rsidP="00A358B1">
            <w:pPr>
              <w:spacing w:line="360" w:lineRule="auto"/>
              <w:rPr>
                <w:rFonts w:ascii="Arial" w:hAnsi="Arial" w:cs="Arial"/>
                <w:color w:val="000000"/>
                <w:lang w:val="es-ES" w:eastAsia="en-US"/>
              </w:rPr>
            </w:pPr>
          </w:p>
        </w:tc>
        <w:tc>
          <w:tcPr>
            <w:tcW w:w="2343" w:type="dxa"/>
            <w:noWrap/>
            <w:vAlign w:val="bottom"/>
            <w:hideMark/>
          </w:tcPr>
          <w:p w:rsidR="00A358B1" w:rsidRPr="00A358B1" w:rsidRDefault="00A358B1" w:rsidP="00A358B1">
            <w:pPr>
              <w:spacing w:line="360" w:lineRule="auto"/>
              <w:rPr>
                <w:rFonts w:ascii="Arial" w:hAnsi="Arial" w:cs="Arial"/>
                <w:color w:val="000000"/>
                <w:lang w:val="es-ES" w:eastAsia="en-US"/>
              </w:rPr>
            </w:pPr>
            <w:r w:rsidRPr="00A358B1">
              <w:rPr>
                <w:rFonts w:ascii="Arial" w:hAnsi="Arial" w:cs="Arial"/>
                <w:color w:val="000000"/>
                <w:lang w:val="es-ES" w:eastAsia="en-US"/>
              </w:rPr>
              <w:t>14 (17,7)</w:t>
            </w:r>
          </w:p>
        </w:tc>
      </w:tr>
      <w:tr w:rsidR="00A358B1" w:rsidRPr="00A358B1" w:rsidTr="00F900BB">
        <w:trPr>
          <w:trHeight w:val="300"/>
        </w:trPr>
        <w:tc>
          <w:tcPr>
            <w:tcW w:w="1485" w:type="dxa"/>
            <w:noWrap/>
            <w:vAlign w:val="bottom"/>
            <w:hideMark/>
          </w:tcPr>
          <w:p w:rsidR="00A358B1" w:rsidRPr="00A358B1" w:rsidRDefault="00A358B1" w:rsidP="00A358B1">
            <w:pPr>
              <w:spacing w:line="360" w:lineRule="auto"/>
              <w:rPr>
                <w:rFonts w:ascii="Arial" w:hAnsi="Arial" w:cs="Arial"/>
                <w:color w:val="000000"/>
                <w:lang w:val="es-ES" w:eastAsia="en-US"/>
              </w:rPr>
            </w:pPr>
            <w:r w:rsidRPr="00A358B1">
              <w:rPr>
                <w:rFonts w:ascii="Arial" w:hAnsi="Arial" w:cs="Arial"/>
                <w:color w:val="000000"/>
                <w:lang w:val="es-ES" w:eastAsia="en-US"/>
              </w:rPr>
              <w:t>51-70</w:t>
            </w:r>
          </w:p>
        </w:tc>
        <w:tc>
          <w:tcPr>
            <w:tcW w:w="567" w:type="dxa"/>
            <w:noWrap/>
            <w:vAlign w:val="bottom"/>
            <w:hideMark/>
          </w:tcPr>
          <w:p w:rsidR="00A358B1" w:rsidRPr="00A358B1" w:rsidRDefault="00A358B1" w:rsidP="00A358B1">
            <w:pPr>
              <w:spacing w:line="360" w:lineRule="auto"/>
              <w:rPr>
                <w:rFonts w:ascii="Arial" w:hAnsi="Arial" w:cs="Arial"/>
                <w:color w:val="000000"/>
                <w:lang w:val="es-ES" w:eastAsia="en-US"/>
              </w:rPr>
            </w:pPr>
          </w:p>
        </w:tc>
        <w:tc>
          <w:tcPr>
            <w:tcW w:w="2343" w:type="dxa"/>
            <w:noWrap/>
            <w:vAlign w:val="bottom"/>
            <w:hideMark/>
          </w:tcPr>
          <w:p w:rsidR="00A358B1" w:rsidRPr="00A358B1" w:rsidRDefault="00A358B1" w:rsidP="00A358B1">
            <w:pPr>
              <w:spacing w:line="360" w:lineRule="auto"/>
              <w:rPr>
                <w:rFonts w:ascii="Arial" w:hAnsi="Arial" w:cs="Arial"/>
                <w:color w:val="000000"/>
                <w:lang w:val="es-ES" w:eastAsia="en-US"/>
              </w:rPr>
            </w:pPr>
            <w:r w:rsidRPr="00A358B1">
              <w:rPr>
                <w:rFonts w:ascii="Arial" w:hAnsi="Arial" w:cs="Arial"/>
                <w:color w:val="000000"/>
                <w:lang w:val="es-ES" w:eastAsia="en-US"/>
              </w:rPr>
              <w:t>42 (53,2)</w:t>
            </w:r>
          </w:p>
        </w:tc>
      </w:tr>
      <w:tr w:rsidR="00A358B1" w:rsidRPr="00A358B1" w:rsidTr="00F900BB">
        <w:trPr>
          <w:trHeight w:val="320"/>
        </w:trPr>
        <w:tc>
          <w:tcPr>
            <w:tcW w:w="1485" w:type="dxa"/>
            <w:tcBorders>
              <w:top w:val="nil"/>
              <w:left w:val="nil"/>
              <w:bottom w:val="single" w:sz="2" w:space="0" w:color="auto"/>
              <w:right w:val="nil"/>
            </w:tcBorders>
            <w:noWrap/>
            <w:vAlign w:val="bottom"/>
            <w:hideMark/>
          </w:tcPr>
          <w:p w:rsidR="00A358B1" w:rsidRPr="00A358B1" w:rsidRDefault="00A358B1" w:rsidP="00A358B1">
            <w:pPr>
              <w:spacing w:line="360" w:lineRule="auto"/>
              <w:rPr>
                <w:rFonts w:ascii="Arial" w:hAnsi="Arial" w:cs="Arial"/>
                <w:color w:val="000000"/>
                <w:lang w:val="es-ES" w:eastAsia="en-US"/>
              </w:rPr>
            </w:pPr>
            <w:r w:rsidRPr="00A358B1">
              <w:rPr>
                <w:rFonts w:ascii="Arial" w:hAnsi="Arial" w:cs="Arial"/>
                <w:color w:val="000000"/>
                <w:lang w:val="es-ES" w:eastAsia="en-US"/>
              </w:rPr>
              <w:t>&gt;70</w:t>
            </w:r>
          </w:p>
        </w:tc>
        <w:tc>
          <w:tcPr>
            <w:tcW w:w="567" w:type="dxa"/>
            <w:tcBorders>
              <w:top w:val="nil"/>
              <w:left w:val="nil"/>
              <w:bottom w:val="single" w:sz="2" w:space="0" w:color="auto"/>
              <w:right w:val="nil"/>
            </w:tcBorders>
            <w:noWrap/>
            <w:vAlign w:val="bottom"/>
            <w:hideMark/>
          </w:tcPr>
          <w:p w:rsidR="00A358B1" w:rsidRPr="00A358B1" w:rsidRDefault="00A358B1" w:rsidP="00A358B1">
            <w:pPr>
              <w:spacing w:line="360" w:lineRule="auto"/>
              <w:rPr>
                <w:rFonts w:ascii="Arial" w:hAnsi="Arial" w:cs="Arial"/>
                <w:color w:val="000000"/>
                <w:lang w:val="es-ES" w:eastAsia="en-US"/>
              </w:rPr>
            </w:pPr>
            <w:r w:rsidRPr="00A358B1">
              <w:rPr>
                <w:rFonts w:ascii="Arial" w:hAnsi="Arial" w:cs="Arial"/>
                <w:color w:val="000000"/>
                <w:lang w:val="es-ES" w:eastAsia="en-US"/>
              </w:rPr>
              <w:t> </w:t>
            </w:r>
          </w:p>
        </w:tc>
        <w:tc>
          <w:tcPr>
            <w:tcW w:w="2343" w:type="dxa"/>
            <w:tcBorders>
              <w:top w:val="nil"/>
              <w:left w:val="nil"/>
              <w:bottom w:val="single" w:sz="2" w:space="0" w:color="auto"/>
              <w:right w:val="nil"/>
            </w:tcBorders>
            <w:noWrap/>
            <w:vAlign w:val="bottom"/>
            <w:hideMark/>
          </w:tcPr>
          <w:p w:rsidR="00A358B1" w:rsidRPr="00A358B1" w:rsidRDefault="00A358B1" w:rsidP="00A358B1">
            <w:pPr>
              <w:spacing w:line="360" w:lineRule="auto"/>
              <w:rPr>
                <w:rFonts w:ascii="Arial" w:hAnsi="Arial" w:cs="Arial"/>
                <w:color w:val="000000"/>
                <w:lang w:val="es-ES" w:eastAsia="en-US"/>
              </w:rPr>
            </w:pPr>
            <w:r w:rsidRPr="00A358B1">
              <w:rPr>
                <w:rFonts w:ascii="Arial" w:hAnsi="Arial" w:cs="Arial"/>
                <w:color w:val="000000"/>
                <w:lang w:val="es-ES" w:eastAsia="en-US"/>
              </w:rPr>
              <w:t>20 (25,3)</w:t>
            </w:r>
          </w:p>
        </w:tc>
      </w:tr>
    </w:tbl>
    <w:p w:rsidR="00A358B1" w:rsidRPr="00A358B1" w:rsidRDefault="00A358B1" w:rsidP="00A358B1">
      <w:pPr>
        <w:spacing w:line="360" w:lineRule="auto"/>
        <w:rPr>
          <w:rFonts w:ascii="Arial" w:hAnsi="Arial" w:cs="Arial"/>
          <w:b/>
          <w:lang w:val="es-ES"/>
        </w:rPr>
      </w:pPr>
      <w:r w:rsidRPr="00A358B1">
        <w:rPr>
          <w:rFonts w:ascii="Arial" w:hAnsi="Arial" w:cs="Arial"/>
          <w:i/>
          <w:lang w:val="es-ES"/>
        </w:rPr>
        <w:t>Edad: años cumplidos al momento del diagnóstico.</w:t>
      </w:r>
    </w:p>
    <w:p w:rsidR="00A358B1" w:rsidRPr="00A358B1" w:rsidRDefault="00A358B1" w:rsidP="00A358B1">
      <w:pPr>
        <w:spacing w:line="360" w:lineRule="auto"/>
        <w:rPr>
          <w:rFonts w:ascii="Arial" w:hAnsi="Arial" w:cs="Arial"/>
          <w:lang w:val="es-ES"/>
        </w:rPr>
      </w:pPr>
    </w:p>
    <w:p w:rsidR="00A358B1" w:rsidRPr="00A358B1" w:rsidRDefault="00A358B1" w:rsidP="00A358B1">
      <w:pPr>
        <w:spacing w:line="360" w:lineRule="auto"/>
        <w:rPr>
          <w:rFonts w:ascii="Arial" w:hAnsi="Arial" w:cs="Arial"/>
          <w:b/>
          <w:lang w:val="es-ES"/>
        </w:rPr>
      </w:pPr>
      <w:r w:rsidRPr="00A358B1">
        <w:rPr>
          <w:rFonts w:ascii="Arial" w:hAnsi="Arial" w:cs="Arial"/>
          <w:noProof/>
          <w:lang w:val="es-MX" w:eastAsia="es-MX"/>
        </w:rPr>
        <w:drawing>
          <wp:inline distT="0" distB="0" distL="0" distR="0" wp14:anchorId="01DEEC04" wp14:editId="6010F991">
            <wp:extent cx="3209925" cy="2286000"/>
            <wp:effectExtent l="0" t="0" r="15875" b="1270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A358B1" w:rsidRPr="00A358B1" w:rsidRDefault="00A358B1" w:rsidP="00A358B1">
      <w:pPr>
        <w:spacing w:line="360" w:lineRule="auto"/>
        <w:rPr>
          <w:rFonts w:ascii="Arial" w:hAnsi="Arial" w:cs="Arial"/>
          <w:lang w:val="es-ES"/>
        </w:rPr>
      </w:pPr>
      <w:r w:rsidRPr="00A358B1">
        <w:rPr>
          <w:rFonts w:ascii="Arial" w:hAnsi="Arial" w:cs="Arial"/>
          <w:b/>
          <w:lang w:val="es-ES"/>
        </w:rPr>
        <w:t xml:space="preserve">Grafico 1. </w:t>
      </w:r>
      <w:r w:rsidRPr="00A358B1">
        <w:rPr>
          <w:rFonts w:ascii="Arial" w:hAnsi="Arial" w:cs="Arial"/>
          <w:lang w:val="es-ES"/>
        </w:rPr>
        <w:t>Se obtuvo el genotipo de 156 (73%) pacientes.</w:t>
      </w:r>
    </w:p>
    <w:p w:rsidR="00A358B1" w:rsidRPr="00A358B1" w:rsidRDefault="00A358B1" w:rsidP="00A358B1">
      <w:pPr>
        <w:spacing w:line="360" w:lineRule="auto"/>
        <w:rPr>
          <w:rFonts w:ascii="Arial" w:hAnsi="Arial" w:cs="Arial"/>
          <w:lang w:val="es-ES"/>
        </w:rPr>
      </w:pPr>
    </w:p>
    <w:p w:rsidR="00A358B1" w:rsidRPr="00A358B1" w:rsidRDefault="00A358B1" w:rsidP="00A358B1">
      <w:pPr>
        <w:spacing w:line="360" w:lineRule="auto"/>
        <w:rPr>
          <w:rFonts w:ascii="Arial" w:hAnsi="Arial" w:cs="Arial"/>
          <w:lang w:val="es-ES"/>
        </w:rPr>
      </w:pPr>
    </w:p>
    <w:p w:rsidR="00A358B1" w:rsidRPr="00A358B1" w:rsidRDefault="00A358B1" w:rsidP="00A358B1">
      <w:pPr>
        <w:spacing w:line="360" w:lineRule="auto"/>
        <w:rPr>
          <w:rFonts w:ascii="Arial" w:hAnsi="Arial" w:cs="Arial"/>
          <w:lang w:val="es-ES"/>
        </w:rPr>
      </w:pPr>
    </w:p>
    <w:p w:rsidR="00A358B1" w:rsidRPr="00A358B1" w:rsidRDefault="00A358B1" w:rsidP="00A358B1">
      <w:pPr>
        <w:spacing w:line="360" w:lineRule="auto"/>
        <w:rPr>
          <w:rFonts w:ascii="Arial" w:hAnsi="Arial" w:cs="Arial"/>
          <w:lang w:val="es-ES"/>
        </w:rPr>
      </w:pPr>
    </w:p>
    <w:p w:rsidR="00A358B1" w:rsidRPr="00A358B1" w:rsidRDefault="00A358B1" w:rsidP="00A358B1">
      <w:pPr>
        <w:spacing w:line="360" w:lineRule="auto"/>
        <w:rPr>
          <w:rFonts w:ascii="Arial" w:hAnsi="Arial" w:cs="Arial"/>
        </w:rPr>
      </w:pPr>
    </w:p>
    <w:p w:rsidR="00A358B1" w:rsidRPr="00A358B1" w:rsidRDefault="00A358B1" w:rsidP="00A358B1">
      <w:pPr>
        <w:spacing w:line="360" w:lineRule="auto"/>
        <w:rPr>
          <w:rFonts w:ascii="Arial" w:hAnsi="Arial" w:cs="Arial"/>
        </w:rPr>
      </w:pPr>
    </w:p>
    <w:p w:rsidR="008A718B" w:rsidRPr="00A358B1" w:rsidRDefault="008A718B" w:rsidP="00A358B1">
      <w:pPr>
        <w:spacing w:line="360" w:lineRule="auto"/>
        <w:rPr>
          <w:rFonts w:ascii="Arial" w:hAnsi="Arial" w:cs="Arial"/>
        </w:rPr>
      </w:pPr>
    </w:p>
    <w:sectPr w:rsidR="008A718B" w:rsidRPr="00A358B1" w:rsidSect="00206ACE">
      <w:footerReference w:type="even" r:id="rId6"/>
      <w:footerReference w:type="default" r:id="rId7"/>
      <w:type w:val="continuous"/>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1B5" w:rsidRDefault="00A358B1" w:rsidP="00E92171">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E31B5" w:rsidRDefault="00A358B1" w:rsidP="001E31B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1B5" w:rsidRDefault="00A358B1" w:rsidP="00E92171">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F633F9" w:rsidRPr="00F633F9" w:rsidRDefault="00A358B1" w:rsidP="001E31B5">
    <w:pPr>
      <w:pStyle w:val="Piedepgina"/>
      <w:ind w:right="360"/>
    </w:pPr>
    <w:r w:rsidRPr="00F633F9">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36E27"/>
    <w:multiLevelType w:val="hybridMultilevel"/>
    <w:tmpl w:val="464AFFAC"/>
    <w:lvl w:ilvl="0" w:tplc="040A000F">
      <w:start w:val="1"/>
      <w:numFmt w:val="decimal"/>
      <w:lvlText w:val="%1."/>
      <w:lvlJc w:val="left"/>
      <w:pPr>
        <w:ind w:left="360" w:hanging="360"/>
      </w:pPr>
    </w:lvl>
    <w:lvl w:ilvl="1" w:tplc="040A0019">
      <w:start w:val="1"/>
      <w:numFmt w:val="lowerLetter"/>
      <w:lvlText w:val="%2."/>
      <w:lvlJc w:val="left"/>
      <w:pPr>
        <w:ind w:left="1080" w:hanging="360"/>
      </w:pPr>
    </w:lvl>
    <w:lvl w:ilvl="2" w:tplc="040A001B">
      <w:start w:val="1"/>
      <w:numFmt w:val="lowerRoman"/>
      <w:lvlText w:val="%3."/>
      <w:lvlJc w:val="right"/>
      <w:pPr>
        <w:ind w:left="1800" w:hanging="180"/>
      </w:pPr>
    </w:lvl>
    <w:lvl w:ilvl="3" w:tplc="040A000F">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15:restartNumberingAfterBreak="0">
    <w:nsid w:val="109C6B9A"/>
    <w:multiLevelType w:val="hybridMultilevel"/>
    <w:tmpl w:val="E6BA26BA"/>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8B1"/>
    <w:rsid w:val="008A718B"/>
    <w:rsid w:val="00A358B1"/>
    <w:rsid w:val="00CC11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54501822"/>
  <w15:chartTrackingRefBased/>
  <w15:docId w15:val="{61072854-D7E3-A149-972F-AEBD9C98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58B1"/>
    <w:rPr>
      <w:rFonts w:ascii="Times New Roman" w:eastAsia="Times New Roman" w:hAnsi="Times New Roman" w:cs="Times New Roman"/>
      <w:lang w:eastAsia="es-ES_tradnl"/>
    </w:rPr>
  </w:style>
  <w:style w:type="paragraph" w:styleId="Ttulo1">
    <w:name w:val="heading 1"/>
    <w:basedOn w:val="Normal"/>
    <w:next w:val="Normal"/>
    <w:link w:val="Ttulo1Car"/>
    <w:uiPriority w:val="9"/>
    <w:qFormat/>
    <w:rsid w:val="00A358B1"/>
    <w:pPr>
      <w:keepNext/>
      <w:keepLines/>
      <w:spacing w:before="480"/>
      <w:jc w:val="center"/>
      <w:outlineLvl w:val="0"/>
    </w:pPr>
    <w:rPr>
      <w:rFonts w:asciiTheme="majorHAnsi" w:eastAsiaTheme="majorEastAsia" w:hAnsiTheme="majorHAnsi" w:cstheme="majorBidi"/>
      <w:bCs/>
      <w:sz w:val="32"/>
      <w:szCs w:val="32"/>
    </w:rPr>
  </w:style>
  <w:style w:type="paragraph" w:styleId="Ttulo2">
    <w:name w:val="heading 2"/>
    <w:basedOn w:val="Normal"/>
    <w:next w:val="Normal"/>
    <w:link w:val="Ttulo2Car"/>
    <w:uiPriority w:val="9"/>
    <w:unhideWhenUsed/>
    <w:qFormat/>
    <w:rsid w:val="00A358B1"/>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358B1"/>
    <w:rPr>
      <w:rFonts w:asciiTheme="majorHAnsi" w:eastAsiaTheme="majorEastAsia" w:hAnsiTheme="majorHAnsi" w:cstheme="majorBidi"/>
      <w:bCs/>
      <w:sz w:val="32"/>
      <w:szCs w:val="32"/>
      <w:lang w:eastAsia="es-ES_tradnl"/>
    </w:rPr>
  </w:style>
  <w:style w:type="character" w:customStyle="1" w:styleId="Ttulo2Car">
    <w:name w:val="Título 2 Car"/>
    <w:basedOn w:val="Fuentedeprrafopredeter"/>
    <w:link w:val="Ttulo2"/>
    <w:uiPriority w:val="9"/>
    <w:rsid w:val="00A358B1"/>
    <w:rPr>
      <w:rFonts w:asciiTheme="majorHAnsi" w:eastAsiaTheme="majorEastAsia" w:hAnsiTheme="majorHAnsi" w:cstheme="majorBidi"/>
      <w:b/>
      <w:bCs/>
      <w:color w:val="4472C4" w:themeColor="accent1"/>
      <w:sz w:val="26"/>
      <w:szCs w:val="26"/>
      <w:lang w:eastAsia="es-ES_tradnl"/>
    </w:rPr>
  </w:style>
  <w:style w:type="paragraph" w:styleId="NormalWeb">
    <w:name w:val="Normal (Web)"/>
    <w:basedOn w:val="Normal"/>
    <w:uiPriority w:val="99"/>
    <w:unhideWhenUsed/>
    <w:rsid w:val="00A358B1"/>
    <w:pPr>
      <w:spacing w:before="100" w:beforeAutospacing="1" w:after="100" w:afterAutospacing="1"/>
    </w:pPr>
    <w:rPr>
      <w:rFonts w:ascii="Times" w:hAnsi="Times"/>
      <w:sz w:val="20"/>
      <w:szCs w:val="20"/>
    </w:rPr>
  </w:style>
  <w:style w:type="character" w:customStyle="1" w:styleId="apple-style-span">
    <w:name w:val="apple-style-span"/>
    <w:basedOn w:val="Fuentedeprrafopredeter"/>
    <w:rsid w:val="00A358B1"/>
  </w:style>
  <w:style w:type="paragraph" w:styleId="Sinespaciado">
    <w:name w:val="No Spacing"/>
    <w:uiPriority w:val="99"/>
    <w:qFormat/>
    <w:rsid w:val="00A358B1"/>
    <w:pPr>
      <w:suppressAutoHyphens/>
    </w:pPr>
    <w:rPr>
      <w:rFonts w:ascii="Calibri" w:eastAsia="Calibri" w:hAnsi="Calibri" w:cs="Calibri"/>
      <w:sz w:val="22"/>
      <w:szCs w:val="22"/>
      <w:lang w:val="es-ES" w:eastAsia="ar-SA"/>
    </w:rPr>
  </w:style>
  <w:style w:type="paragraph" w:styleId="Prrafodelista">
    <w:name w:val="List Paragraph"/>
    <w:basedOn w:val="Normal"/>
    <w:uiPriority w:val="34"/>
    <w:qFormat/>
    <w:rsid w:val="00A358B1"/>
    <w:pPr>
      <w:ind w:left="720"/>
      <w:contextualSpacing/>
    </w:pPr>
  </w:style>
  <w:style w:type="character" w:customStyle="1" w:styleId="apple-converted-space">
    <w:name w:val="apple-converted-space"/>
    <w:basedOn w:val="Fuentedeprrafopredeter"/>
    <w:rsid w:val="00A358B1"/>
  </w:style>
  <w:style w:type="paragraph" w:styleId="Textocomentario">
    <w:name w:val="annotation text"/>
    <w:basedOn w:val="Normal"/>
    <w:link w:val="TextocomentarioCar"/>
    <w:uiPriority w:val="99"/>
    <w:semiHidden/>
    <w:unhideWhenUsed/>
    <w:rsid w:val="00A358B1"/>
    <w:rPr>
      <w:sz w:val="20"/>
      <w:szCs w:val="20"/>
    </w:rPr>
  </w:style>
  <w:style w:type="character" w:customStyle="1" w:styleId="TextocomentarioCar">
    <w:name w:val="Texto comentario Car"/>
    <w:basedOn w:val="Fuentedeprrafopredeter"/>
    <w:link w:val="Textocomentario"/>
    <w:uiPriority w:val="99"/>
    <w:semiHidden/>
    <w:rsid w:val="00A358B1"/>
    <w:rPr>
      <w:rFonts w:ascii="Times New Roman" w:eastAsia="Times New Roman" w:hAnsi="Times New Roman" w:cs="Times New Roman"/>
      <w:sz w:val="20"/>
      <w:szCs w:val="20"/>
      <w:lang w:eastAsia="es-ES_tradnl"/>
    </w:rPr>
  </w:style>
  <w:style w:type="paragraph" w:styleId="Piedepgina">
    <w:name w:val="footer"/>
    <w:basedOn w:val="Normal"/>
    <w:link w:val="PiedepginaCar"/>
    <w:uiPriority w:val="99"/>
    <w:unhideWhenUsed/>
    <w:rsid w:val="00A358B1"/>
    <w:pPr>
      <w:tabs>
        <w:tab w:val="center" w:pos="4252"/>
        <w:tab w:val="right" w:pos="8504"/>
      </w:tabs>
    </w:pPr>
  </w:style>
  <w:style w:type="character" w:customStyle="1" w:styleId="PiedepginaCar">
    <w:name w:val="Pie de página Car"/>
    <w:basedOn w:val="Fuentedeprrafopredeter"/>
    <w:link w:val="Piedepgina"/>
    <w:uiPriority w:val="99"/>
    <w:rsid w:val="00A358B1"/>
    <w:rPr>
      <w:rFonts w:ascii="Times New Roman" w:eastAsia="Times New Roman" w:hAnsi="Times New Roman" w:cs="Times New Roman"/>
      <w:lang w:eastAsia="es-ES_tradnl"/>
    </w:rPr>
  </w:style>
  <w:style w:type="character" w:styleId="Nmerodepgina">
    <w:name w:val="page number"/>
    <w:basedOn w:val="Fuentedeprrafopredeter"/>
    <w:uiPriority w:val="99"/>
    <w:semiHidden/>
    <w:unhideWhenUsed/>
    <w:rsid w:val="00A35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Users\angelicatobon\Documents\Grupo%20de%20Investigacio&#769;n\Resultados%20estudio%20HCV.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960" b="1" i="0" u="none" strike="noStrike" kern="1200" cap="all" baseline="0">
                <a:solidFill>
                  <a:schemeClr val="tx1">
                    <a:lumMod val="65000"/>
                    <a:lumOff val="35000"/>
                  </a:schemeClr>
                </a:solidFill>
                <a:latin typeface="Helvetica" charset="0"/>
                <a:ea typeface="Helvetica" charset="0"/>
                <a:cs typeface="Helvetica" charset="0"/>
              </a:defRPr>
            </a:pPr>
            <a:r>
              <a:rPr lang="en-US"/>
              <a:t>Genotipos encontrados en la pobalción</a:t>
            </a:r>
          </a:p>
        </c:rich>
      </c:tx>
      <c:overlay val="0"/>
      <c:spPr>
        <a:noFill/>
        <a:ln>
          <a:noFill/>
        </a:ln>
        <a:effectLst/>
      </c:spPr>
    </c:title>
    <c:autoTitleDeleted val="0"/>
    <c:plotArea>
      <c:layout/>
      <c:barChart>
        <c:barDir val="col"/>
        <c:grouping val="clustered"/>
        <c:varyColors val="0"/>
        <c:ser>
          <c:idx val="0"/>
          <c:order val="0"/>
          <c:tx>
            <c:strRef>
              <c:f>'Tabla genotipos'!$B$13</c:f>
              <c:strCache>
                <c:ptCount val="1"/>
                <c:pt idx="0">
                  <c:v>Porcentaje (%)</c:v>
                </c:pt>
              </c:strCache>
            </c:strRef>
          </c:tx>
          <c:spPr>
            <a:solidFill>
              <a:schemeClr val="dk1">
                <a:tint val="88500"/>
              </a:schemeClr>
            </a:solidFill>
            <a:ln>
              <a:noFill/>
            </a:ln>
            <a:effectLst>
              <a:outerShdw blurRad="63500" sx="102000" sy="102000" algn="ctr" rotWithShape="0">
                <a:prstClr val="black">
                  <a:alpha val="20000"/>
                </a:prstClr>
              </a:outerShdw>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dk1">
                        <a:tint val="88500"/>
                      </a:schemeClr>
                    </a:solidFill>
                    <a:latin typeface="Helvetica" charset="0"/>
                    <a:ea typeface="Helvetica" charset="0"/>
                    <a:cs typeface="Helvetica" charset="0"/>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'Tabla genotipos'!$A$14:$A$19</c:f>
              <c:strCache>
                <c:ptCount val="6"/>
                <c:pt idx="0">
                  <c:v>1B</c:v>
                </c:pt>
                <c:pt idx="1">
                  <c:v>1A</c:v>
                </c:pt>
                <c:pt idx="2">
                  <c:v>1</c:v>
                </c:pt>
                <c:pt idx="3">
                  <c:v>2</c:v>
                </c:pt>
                <c:pt idx="4">
                  <c:v>2A</c:v>
                </c:pt>
                <c:pt idx="5">
                  <c:v>2A/2C</c:v>
                </c:pt>
              </c:strCache>
            </c:strRef>
          </c:cat>
          <c:val>
            <c:numRef>
              <c:f>'Tabla genotipos'!$B$14:$B$19</c:f>
              <c:numCache>
                <c:formatCode>0.00%</c:formatCode>
                <c:ptCount val="6"/>
                <c:pt idx="0" formatCode="0%">
                  <c:v>0.75000000000000022</c:v>
                </c:pt>
                <c:pt idx="1">
                  <c:v>0.128</c:v>
                </c:pt>
                <c:pt idx="2">
                  <c:v>6.4000000000000029E-2</c:v>
                </c:pt>
                <c:pt idx="3">
                  <c:v>3.2000000000000015E-2</c:v>
                </c:pt>
                <c:pt idx="4">
                  <c:v>1.2800000000000004E-2</c:v>
                </c:pt>
                <c:pt idx="5">
                  <c:v>1.2800000000000004E-2</c:v>
                </c:pt>
              </c:numCache>
            </c:numRef>
          </c:val>
          <c:extLst>
            <c:ext xmlns:c16="http://schemas.microsoft.com/office/drawing/2014/chart" uri="{C3380CC4-5D6E-409C-BE32-E72D297353CC}">
              <c16:uniqueId val="{00000000-F4BB-8D4C-B6DB-174AF628F417}"/>
            </c:ext>
          </c:extLst>
        </c:ser>
        <c:dLbls>
          <c:showLegendKey val="0"/>
          <c:showVal val="0"/>
          <c:showCatName val="0"/>
          <c:showSerName val="0"/>
          <c:showPercent val="0"/>
          <c:showBubbleSize val="0"/>
        </c:dLbls>
        <c:gapWidth val="150"/>
        <c:axId val="340503376"/>
        <c:axId val="340497392"/>
      </c:barChart>
      <c:catAx>
        <c:axId val="340503376"/>
        <c:scaling>
          <c:orientation val="minMax"/>
        </c:scaling>
        <c:delete val="0"/>
        <c:axPos val="b"/>
        <c:title>
          <c:tx>
            <c:rich>
              <a:bodyPr rot="0" spcFirstLastPara="1" vertOverflow="ellipsis" vert="horz" wrap="square" anchor="ctr" anchorCtr="1"/>
              <a:lstStyle/>
              <a:p>
                <a:pPr>
                  <a:defRPr sz="800" b="0" i="0" u="none" strike="noStrike" kern="1200" cap="none" baseline="0">
                    <a:solidFill>
                      <a:schemeClr val="tx1">
                        <a:lumMod val="65000"/>
                        <a:lumOff val="35000"/>
                      </a:schemeClr>
                    </a:solidFill>
                    <a:latin typeface="Helvetica" charset="0"/>
                    <a:ea typeface="Helvetica" charset="0"/>
                    <a:cs typeface="Helvetica" charset="0"/>
                  </a:defRPr>
                </a:pPr>
                <a:r>
                  <a:rPr lang="es-ES_tradnl" cap="none"/>
                  <a:t>Genotipo</a:t>
                </a:r>
              </a:p>
            </c:rich>
          </c:tx>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charset="0"/>
                <a:ea typeface="Helvetica" charset="0"/>
                <a:cs typeface="Helvetica" charset="0"/>
              </a:defRPr>
            </a:pPr>
            <a:endParaRPr lang="es-CO"/>
          </a:p>
        </c:txPr>
        <c:crossAx val="340497392"/>
        <c:crosses val="autoZero"/>
        <c:auto val="1"/>
        <c:lblAlgn val="ctr"/>
        <c:lblOffset val="100"/>
        <c:noMultiLvlLbl val="0"/>
      </c:catAx>
      <c:valAx>
        <c:axId val="3404973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charset="0"/>
                <a:ea typeface="Helvetica" charset="0"/>
                <a:cs typeface="Helvetica" charset="0"/>
              </a:defRPr>
            </a:pPr>
            <a:endParaRPr lang="es-CO"/>
          </a:p>
        </c:txPr>
        <c:crossAx val="340503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Helvetica" charset="0"/>
          <a:ea typeface="Helvetica" charset="0"/>
          <a:cs typeface="Helvetica" charset="0"/>
        </a:defRPr>
      </a:pPr>
      <a:endParaRPr lang="es-CO"/>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4414</Words>
  <Characters>24283</Characters>
  <Application>Microsoft Office Word</Application>
  <DocSecurity>0</DocSecurity>
  <Lines>202</Lines>
  <Paragraphs>57</Paragraphs>
  <ScaleCrop>false</ScaleCrop>
  <Company/>
  <LinksUpToDate>false</LinksUpToDate>
  <CharactersWithSpaces>28640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Tobón Guevara</dc:creator>
  <cp:keywords/>
  <dc:description/>
  <cp:lastModifiedBy>Angélica Tobón Guevara</cp:lastModifiedBy>
  <cp:revision>1</cp:revision>
  <dcterms:created xsi:type="dcterms:W3CDTF">2018-06-11T00:25:00Z</dcterms:created>
  <dcterms:modified xsi:type="dcterms:W3CDTF">2018-06-11T00:31:00Z</dcterms:modified>
</cp:coreProperties>
</file>